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48DA4858" w:rsidR="004F47B9" w:rsidRDefault="00000000">
      <w:pPr>
        <w:spacing w:before="240" w:after="240"/>
        <w:ind w:left="1440" w:hanging="720"/>
        <w:jc w:val="right"/>
        <w:rPr>
          <w:rFonts w:ascii="Trebuchet MS" w:eastAsia="Trebuchet MS" w:hAnsi="Trebuchet MS" w:cs="Trebuchet MS"/>
          <w:b/>
          <w:bCs/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20"/>
          <w:szCs w:val="20"/>
        </w:rPr>
        <w:t>Nota de prensa</w:t>
      </w:r>
    </w:p>
    <w:p w14:paraId="00000002" w14:textId="77777777" w:rsidR="004F47B9" w:rsidRDefault="00000000">
      <w:pPr>
        <w:spacing w:before="240" w:after="240"/>
        <w:jc w:val="center"/>
        <w:rPr>
          <w:rFonts w:ascii="Trebuchet MS" w:eastAsia="Trebuchet MS" w:hAnsi="Trebuchet MS" w:cs="Trebuchet MS"/>
          <w:b/>
          <w:bCs/>
          <w:sz w:val="32"/>
          <w:szCs w:val="32"/>
        </w:rPr>
      </w:pPr>
      <w:r>
        <w:rPr>
          <w:rFonts w:ascii="Trebuchet MS" w:eastAsia="Trebuchet MS" w:hAnsi="Trebuchet MS" w:cs="Trebuchet MS"/>
          <w:b/>
          <w:bCs/>
          <w:sz w:val="32"/>
          <w:szCs w:val="32"/>
        </w:rPr>
        <w:t>La familia de origen es el ámbito donde más violencias reciben las mujeres LTBI+</w:t>
      </w:r>
    </w:p>
    <w:p w14:paraId="00000003" w14:textId="77777777" w:rsidR="004F47B9" w:rsidRDefault="00000000">
      <w:pPr>
        <w:ind w:left="1800" w:hanging="360"/>
        <w:jc w:val="both"/>
        <w:rPr>
          <w:rFonts w:ascii="Trebuchet MS" w:eastAsia="Trebuchet MS" w:hAnsi="Trebuchet MS" w:cs="Trebuchet MS"/>
          <w:b/>
          <w:bCs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t>Así se desprende del primer estudio realizado en España sobre las violencias contra las mujeres LTBI+,</w:t>
      </w:r>
      <w:r>
        <w:t xml:space="preserve"> </w:t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t>elaborado por la Federación Estatal LGTBI+ y el grupo de investigación DiViSAR de la Universidad Complutense de Madrid (UCM)</w:t>
      </w:r>
    </w:p>
    <w:p w14:paraId="00000004" w14:textId="77777777" w:rsidR="004F47B9" w:rsidRDefault="00000000">
      <w:pPr>
        <w:ind w:left="1800" w:hanging="360"/>
        <w:jc w:val="both"/>
        <w:rPr>
          <w:rFonts w:ascii="Trebuchet MS" w:eastAsia="Trebuchet MS" w:hAnsi="Trebuchet MS" w:cs="Trebuchet MS"/>
          <w:b/>
          <w:bCs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t>Paula Iglesias: “esto es devastador a nivel psicológico porque no hay un hogar seguro al que regresar, lo que hace más difícil enfrentar la violencia”</w:t>
      </w:r>
    </w:p>
    <w:p w14:paraId="00000005" w14:textId="77777777" w:rsidR="004F47B9" w:rsidRDefault="00000000">
      <w:pPr>
        <w:ind w:left="1440" w:hanging="360"/>
        <w:jc w:val="both"/>
        <w:rPr>
          <w:rFonts w:ascii="Trebuchet MS" w:eastAsia="Trebuchet MS" w:hAnsi="Trebuchet MS" w:cs="Trebuchet MS"/>
          <w:b/>
          <w:bCs/>
          <w:sz w:val="18"/>
          <w:szCs w:val="18"/>
        </w:rPr>
      </w:pPr>
      <w:r>
        <w:rPr>
          <w:rFonts w:ascii="Trebuchet MS" w:eastAsia="Trebuchet MS" w:hAnsi="Trebuchet MS" w:cs="Trebuchet MS"/>
          <w:b/>
          <w:bCs/>
          <w:sz w:val="18"/>
          <w:szCs w:val="18"/>
        </w:rPr>
        <w:t xml:space="preserve"> </w:t>
      </w:r>
    </w:p>
    <w:p w14:paraId="0E4770C4" w14:textId="74F810C2" w:rsidR="00A91269" w:rsidRDefault="00000000">
      <w:pPr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b/>
          <w:bCs/>
          <w:sz w:val="21"/>
          <w:szCs w:val="21"/>
        </w:rPr>
        <w:t xml:space="preserve">Madrid, 05 de noviembre de </w:t>
      </w:r>
      <w:proofErr w:type="gramStart"/>
      <w:r>
        <w:rPr>
          <w:rFonts w:ascii="Trebuchet MS" w:eastAsia="Trebuchet MS" w:hAnsi="Trebuchet MS" w:cs="Trebuchet MS"/>
          <w:b/>
          <w:bCs/>
          <w:sz w:val="21"/>
          <w:szCs w:val="21"/>
        </w:rPr>
        <w:t>2026.–</w:t>
      </w:r>
      <w:proofErr w:type="gramEnd"/>
      <w:r>
        <w:rPr>
          <w:rFonts w:ascii="Trebuchet MS" w:eastAsia="Trebuchet MS" w:hAnsi="Trebuchet MS" w:cs="Trebuchet MS"/>
          <w:sz w:val="21"/>
          <w:szCs w:val="21"/>
        </w:rPr>
        <w:t xml:space="preserve"> La Federación Estatal de Lesbianas, Gais, Trans, Bisexuales, Intersexuales y más (FELGTBI+) </w:t>
      </w:r>
      <w:r w:rsidR="00FF7793">
        <w:rPr>
          <w:rFonts w:ascii="Trebuchet MS" w:eastAsia="Trebuchet MS" w:hAnsi="Trebuchet MS" w:cs="Trebuchet MS"/>
          <w:sz w:val="21"/>
          <w:szCs w:val="21"/>
        </w:rPr>
        <w:t>denuncia</w:t>
      </w:r>
      <w:r>
        <w:rPr>
          <w:rFonts w:ascii="Trebuchet MS" w:eastAsia="Trebuchet MS" w:hAnsi="Trebuchet MS" w:cs="Trebuchet MS"/>
          <w:sz w:val="21"/>
          <w:szCs w:val="21"/>
        </w:rPr>
        <w:t xml:space="preserve"> que la familia de origen es el ámbito más violento para las mujeres LTBI+ y donde antes se empieza a sufrir violencia. Así se desprende de la investigación Cartografía de las violencias contra las mujeres LTBI+ en España, estudio pionero en España sobre violencias contra mujeres LTBI+, elaborado por la Federación Estatal LGTBI+ y el grupo de investigación DiViSAR de la Universidad Complutense de Madrid (UCM). </w:t>
      </w:r>
    </w:p>
    <w:p w14:paraId="3A613037" w14:textId="77777777" w:rsidR="00A91269" w:rsidRDefault="00A91269">
      <w:pPr>
        <w:jc w:val="both"/>
        <w:rPr>
          <w:rFonts w:ascii="Trebuchet MS" w:eastAsia="Trebuchet MS" w:hAnsi="Trebuchet MS" w:cs="Trebuchet MS"/>
          <w:sz w:val="21"/>
          <w:szCs w:val="21"/>
        </w:rPr>
      </w:pPr>
    </w:p>
    <w:p w14:paraId="347EAC71" w14:textId="06F70DAE" w:rsidR="00116498" w:rsidRDefault="00000000">
      <w:pPr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>Las conclusiones revelan que, para las mujeres lesbianas, trans, bisexuales, intersexuales, asexuales o pertenecientes a otras disidencias, la familia es la “zona cero” de la violencia, donde se inician las agresiones desde la infancia</w:t>
      </w:r>
      <w:r w:rsidR="00D038C6">
        <w:rPr>
          <w:rFonts w:ascii="Trebuchet MS" w:eastAsia="Trebuchet MS" w:hAnsi="Trebuchet MS" w:cs="Trebuchet MS"/>
          <w:sz w:val="21"/>
          <w:szCs w:val="21"/>
        </w:rPr>
        <w:t xml:space="preserve"> que</w:t>
      </w:r>
      <w:r>
        <w:rPr>
          <w:rFonts w:ascii="Trebuchet MS" w:eastAsia="Trebuchet MS" w:hAnsi="Trebuchet MS" w:cs="Trebuchet MS"/>
          <w:sz w:val="21"/>
          <w:szCs w:val="21"/>
        </w:rPr>
        <w:t xml:space="preserve"> operan como un mecanismo de control de lo que “se espera” de una mujer. </w:t>
      </w:r>
    </w:p>
    <w:p w14:paraId="6F41A618" w14:textId="77777777" w:rsidR="00116498" w:rsidRDefault="00116498">
      <w:pPr>
        <w:jc w:val="both"/>
        <w:rPr>
          <w:rFonts w:ascii="Trebuchet MS" w:eastAsia="Trebuchet MS" w:hAnsi="Trebuchet MS" w:cs="Trebuchet MS"/>
          <w:sz w:val="21"/>
          <w:szCs w:val="21"/>
        </w:rPr>
      </w:pPr>
    </w:p>
    <w:p w14:paraId="00000008" w14:textId="5C2B2099" w:rsidR="004F47B9" w:rsidRDefault="00000000">
      <w:pPr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 xml:space="preserve">La familia actúa como primer núcleo de imposición de la </w:t>
      </w:r>
      <w:proofErr w:type="spellStart"/>
      <w:r>
        <w:rPr>
          <w:rFonts w:ascii="Trebuchet MS" w:eastAsia="Trebuchet MS" w:hAnsi="Trebuchet MS" w:cs="Trebuchet MS"/>
          <w:sz w:val="21"/>
          <w:szCs w:val="21"/>
        </w:rPr>
        <w:t>endo</w:t>
      </w:r>
      <w:proofErr w:type="spellEnd"/>
      <w:r>
        <w:rPr>
          <w:rFonts w:ascii="Trebuchet MS" w:eastAsia="Trebuchet MS" w:hAnsi="Trebuchet MS" w:cs="Trebuchet MS"/>
          <w:sz w:val="21"/>
          <w:szCs w:val="21"/>
        </w:rPr>
        <w:t xml:space="preserve">-cisheteronormatividad y de los roles de género tradicionales. Lo hace tanto a través de la violencia física directa (palizas y golpes bajo la justificación de </w:t>
      </w:r>
      <w:r>
        <w:rPr>
          <w:rFonts w:ascii="Trebuchet MS" w:eastAsia="Trebuchet MS" w:hAnsi="Trebuchet MS" w:cs="Trebuchet MS"/>
          <w:i/>
          <w:iCs/>
          <w:sz w:val="21"/>
          <w:szCs w:val="21"/>
        </w:rPr>
        <w:t>educar</w:t>
      </w:r>
      <w:r>
        <w:rPr>
          <w:rFonts w:ascii="Trebuchet MS" w:eastAsia="Trebuchet MS" w:hAnsi="Trebuchet MS" w:cs="Trebuchet MS"/>
          <w:sz w:val="21"/>
          <w:szCs w:val="21"/>
        </w:rPr>
        <w:t xml:space="preserve"> o abuso sexual intrafamiliar) como a través de violencia psicológica (discursos de rechazo, vergüenza, exigencias de ocultamiento o la negación explícita de parejas y de la maternidad no gestante, entre otras).</w:t>
      </w:r>
    </w:p>
    <w:p w14:paraId="00000009" w14:textId="77777777" w:rsidR="004F47B9" w:rsidRDefault="00000000">
      <w:pPr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</w:p>
    <w:p w14:paraId="0000000A" w14:textId="6B791463" w:rsidR="004F47B9" w:rsidRDefault="00000000">
      <w:pPr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 xml:space="preserve">El análisis revela también que, a diferencia del espacio público, donde las agresiones suelen ser episódicas, la violencia familiar es continua. Según explica la presidenta de la Federación Estatal LGTBI+, Paula Iglesias, en el caso de las mujeres LTBI+, “a nivel psicológico, es devastador que los espacios y las personas que deberían garantizar el cuidado y la seguridad sean quienes ejercen la violencia. Además, dejan a la víctima sin un </w:t>
      </w:r>
      <w:r>
        <w:rPr>
          <w:rFonts w:ascii="Trebuchet MS" w:eastAsia="Trebuchet MS" w:hAnsi="Trebuchet MS" w:cs="Trebuchet MS"/>
          <w:i/>
          <w:iCs/>
          <w:sz w:val="21"/>
          <w:szCs w:val="21"/>
        </w:rPr>
        <w:t>hogar seguro</w:t>
      </w:r>
      <w:r>
        <w:rPr>
          <w:rFonts w:ascii="Trebuchet MS" w:eastAsia="Trebuchet MS" w:hAnsi="Trebuchet MS" w:cs="Trebuchet MS"/>
          <w:sz w:val="21"/>
          <w:szCs w:val="21"/>
        </w:rPr>
        <w:t xml:space="preserve"> al que regresar en la edad adulta, lo que hace más difícil, enfrentar las situaciones de violencia”, explica.</w:t>
      </w:r>
    </w:p>
    <w:p w14:paraId="0000000B" w14:textId="77777777" w:rsidR="004F47B9" w:rsidRDefault="00000000">
      <w:pPr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</w:p>
    <w:p w14:paraId="0000000C" w14:textId="77777777" w:rsidR="004F47B9" w:rsidRDefault="00000000">
      <w:pPr>
        <w:jc w:val="both"/>
        <w:rPr>
          <w:rFonts w:ascii="Trebuchet MS" w:eastAsia="Trebuchet MS" w:hAnsi="Trebuchet MS" w:cs="Trebuchet MS"/>
          <w:b/>
          <w:bCs/>
          <w:sz w:val="21"/>
          <w:szCs w:val="21"/>
          <w:u w:val="single"/>
        </w:rPr>
      </w:pPr>
      <w:r>
        <w:rPr>
          <w:rFonts w:ascii="Trebuchet MS" w:eastAsia="Trebuchet MS" w:hAnsi="Trebuchet MS" w:cs="Trebuchet MS"/>
          <w:b/>
          <w:bCs/>
          <w:sz w:val="21"/>
          <w:szCs w:val="21"/>
          <w:u w:val="single"/>
        </w:rPr>
        <w:t>Violencia sistémica orientada a “corregir”</w:t>
      </w:r>
    </w:p>
    <w:p w14:paraId="0000000D" w14:textId="77777777" w:rsidR="004F47B9" w:rsidRDefault="00000000">
      <w:pPr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</w:p>
    <w:p w14:paraId="0000000E" w14:textId="77777777" w:rsidR="004F47B9" w:rsidRDefault="00000000">
      <w:pPr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 xml:space="preserve">La investigación revela que las mujeres LTBI+ sufren violencia a lo largo de toda la vida, en todo tipo de entornos y a manos de todo tipo de actores. Las agresiones contra mujeres LTBI+ constituyen una violencia sistémica orientada al control y a la corrección normativa.  Tal y como explica Cristina Álvarez, vocal de feminismos de la FELGTBI+, “el patriarcado nos castiga tanto por nuestro género, como por desafiar la </w:t>
      </w:r>
      <w:proofErr w:type="spellStart"/>
      <w:r>
        <w:rPr>
          <w:rFonts w:ascii="Trebuchet MS" w:eastAsia="Trebuchet MS" w:hAnsi="Trebuchet MS" w:cs="Trebuchet MS"/>
          <w:sz w:val="21"/>
          <w:szCs w:val="21"/>
        </w:rPr>
        <w:t>endo</w:t>
      </w:r>
      <w:proofErr w:type="spellEnd"/>
      <w:r>
        <w:rPr>
          <w:rFonts w:ascii="Trebuchet MS" w:eastAsia="Trebuchet MS" w:hAnsi="Trebuchet MS" w:cs="Trebuchet MS"/>
          <w:sz w:val="21"/>
          <w:szCs w:val="21"/>
        </w:rPr>
        <w:t>-cisheteronormatividad, que son los pilares que sostienen el sistema de dominación masculino”.</w:t>
      </w:r>
    </w:p>
    <w:p w14:paraId="0000000F" w14:textId="77777777" w:rsidR="004F47B9" w:rsidRDefault="00000000">
      <w:pPr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</w:p>
    <w:p w14:paraId="00000010" w14:textId="77777777" w:rsidR="004F47B9" w:rsidRDefault="00000000">
      <w:pPr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 xml:space="preserve">Según el informe, la violencia contra estas mujeres se desarrolla en tres esferas críticas: el círculo íntimo (donde familiares y parejas castigan a quienes rompen con los roles tradicionales de </w:t>
      </w:r>
      <w:r w:rsidRPr="00E43880">
        <w:rPr>
          <w:rFonts w:ascii="Trebuchet MS" w:eastAsia="Trebuchet MS" w:hAnsi="Trebuchet MS" w:cs="Trebuchet MS"/>
          <w:sz w:val="21"/>
          <w:szCs w:val="21"/>
        </w:rPr>
        <w:t>género, sexualidad y corporalidad</w:t>
      </w:r>
      <w:r>
        <w:rPr>
          <w:rFonts w:ascii="Trebuchet MS" w:eastAsia="Trebuchet MS" w:hAnsi="Trebuchet MS" w:cs="Trebuchet MS"/>
          <w:sz w:val="21"/>
          <w:szCs w:val="21"/>
        </w:rPr>
        <w:t xml:space="preserve">); el círculo comunitario (caracterizado por la exclusión de los </w:t>
      </w:r>
      <w:r>
        <w:rPr>
          <w:rFonts w:ascii="Trebuchet MS" w:eastAsia="Trebuchet MS" w:hAnsi="Trebuchet MS" w:cs="Trebuchet MS"/>
          <w:i/>
          <w:iCs/>
          <w:sz w:val="21"/>
          <w:szCs w:val="21"/>
        </w:rPr>
        <w:t>espacios seguros)</w:t>
      </w:r>
      <w:r>
        <w:rPr>
          <w:rFonts w:ascii="Trebuchet MS" w:eastAsia="Trebuchet MS" w:hAnsi="Trebuchet MS" w:cs="Trebuchet MS"/>
          <w:sz w:val="21"/>
          <w:szCs w:val="21"/>
        </w:rPr>
        <w:t xml:space="preserve"> y el círculo institucional (donde los prejuicios médicos y la falta de </w:t>
      </w:r>
      <w:r>
        <w:rPr>
          <w:rFonts w:ascii="Trebuchet MS" w:eastAsia="Trebuchet MS" w:hAnsi="Trebuchet MS" w:cs="Trebuchet MS"/>
          <w:sz w:val="21"/>
          <w:szCs w:val="21"/>
        </w:rPr>
        <w:lastRenderedPageBreak/>
        <w:t>protección institucional dejan a las víctimas desprotegidas y permiten impunidad a quien ejerce la agresión).</w:t>
      </w:r>
    </w:p>
    <w:p w14:paraId="00000011" w14:textId="77777777" w:rsidR="004F47B9" w:rsidRDefault="00000000">
      <w:pPr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</w:p>
    <w:p w14:paraId="00000012" w14:textId="77777777" w:rsidR="004F47B9" w:rsidRDefault="00000000">
      <w:pPr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>“Entornos que para otras mujeres pueden ser seguros tras sufrir una agresión, como la familia de origen o el sistema médico, son también perpetradores de la violencia en el caso de las mujeres LTBI+. Por este motivo, reconocer estas violencias es imprescindible para prevenirlas, registrarlas y garantizar una atención adecuada. La respuesta debe incorporar una perspectiva interseccional y tener en cuenta las distintas experiencias de las mujeres LTBI+”, explica Iglesias.</w:t>
      </w:r>
    </w:p>
    <w:p w14:paraId="00000013" w14:textId="77777777" w:rsidR="004F47B9" w:rsidRDefault="00000000">
      <w:pPr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</w:p>
    <w:p w14:paraId="00000014" w14:textId="77777777" w:rsidR="004F47B9" w:rsidRDefault="00000000">
      <w:pPr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>En este sentido, la presidenta de la Federación Estatal LGTBI+ expone que “la violencia contra las mujeres LTBI+ sigue insuficientemente visibilizada y registrada”. “Necesitamos protocolos adaptados y respuestas institucionales adecuadas para no generar nuevas violencias a través de profesionales que no reconocen las agresiones, instituciones que revictimizan y víctimas que no encuentran protección”, denuncia.</w:t>
      </w:r>
    </w:p>
    <w:p w14:paraId="00000015" w14:textId="77777777" w:rsidR="004F47B9" w:rsidRDefault="00000000">
      <w:pPr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</w:p>
    <w:p w14:paraId="00000016" w14:textId="77777777" w:rsidR="004F47B9" w:rsidRDefault="00000000">
      <w:pPr>
        <w:jc w:val="both"/>
        <w:rPr>
          <w:rFonts w:ascii="Trebuchet MS" w:eastAsia="Trebuchet MS" w:hAnsi="Trebuchet MS" w:cs="Trebuchet MS"/>
          <w:b/>
          <w:bCs/>
          <w:sz w:val="21"/>
          <w:szCs w:val="21"/>
          <w:u w:val="single"/>
        </w:rPr>
      </w:pPr>
      <w:r>
        <w:rPr>
          <w:rFonts w:ascii="Trebuchet MS" w:eastAsia="Trebuchet MS" w:hAnsi="Trebuchet MS" w:cs="Trebuchet MS"/>
          <w:b/>
          <w:bCs/>
          <w:sz w:val="21"/>
          <w:szCs w:val="21"/>
          <w:u w:val="single"/>
        </w:rPr>
        <w:t>Cómo y dónde se ejerce la violencia y qué consecuencias tiene</w:t>
      </w:r>
    </w:p>
    <w:p w14:paraId="00000017" w14:textId="77777777" w:rsidR="004F47B9" w:rsidRDefault="00000000">
      <w:pPr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</w:p>
    <w:p w14:paraId="00000018" w14:textId="333A9949" w:rsidR="004F47B9" w:rsidRDefault="00000000">
      <w:pPr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>Según el informe, la violencia contra las mujeres LTBI+ adopta formas específicas: violaciones correctivas; negación de la identidad (deshumanizar a la víctima o cuestionar nuestra condición de mujer para legitimar la agresión); chantaje con salida forzada del armario (utilizan el miedo a revelar la orientación o la identidad para ejercer control); control de los afectos y del cuerpo (presión para ocultar la pareja, modificar la expresión de género o renunciar a la propia identidad).</w:t>
      </w:r>
    </w:p>
    <w:p w14:paraId="00000019" w14:textId="77777777" w:rsidR="004F47B9" w:rsidRDefault="00000000">
      <w:pPr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</w:p>
    <w:p w14:paraId="0000001A" w14:textId="77777777" w:rsidR="004F47B9" w:rsidRDefault="00000000">
      <w:pPr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>Además, al margen de la familia, revela otros ámbitos especialmente violentos para las mujeres LTBI+ como los centros educativos (acoso sistemático, insultos, humillaciones y tocamientos sexuales no consentidos minimizados por parte del profesorado); las relaciones afectivo-sexuales (coacción, chantaje y presión para mantener relaciones sexuales sin deseo); y el trabajo (violencia ejercida por el resto de la plantilla y superiores).</w:t>
      </w:r>
    </w:p>
    <w:p w14:paraId="0000001B" w14:textId="77777777" w:rsidR="004F47B9" w:rsidRDefault="00000000">
      <w:pPr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</w:p>
    <w:p w14:paraId="0000001C" w14:textId="77777777" w:rsidR="004F47B9" w:rsidRDefault="00000000">
      <w:pPr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>De la investigación se desprende también que existen consecuencias físicas más allá de los golpes. Las conclusiones demuestran que el miedo, el rechazo y la hipervigilancia afectan al bienestar emocional y físico de estas mujeres de por vida. Así, se evidencia que la violencia deja huella en forma de ansiedad, vergüenza, inseguridad, aislamiento, dudas sobre la propia identidad y miedo constante al rechazo.</w:t>
      </w:r>
    </w:p>
    <w:p w14:paraId="0000001D" w14:textId="77777777" w:rsidR="004F47B9" w:rsidRDefault="00000000">
      <w:pPr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</w:p>
    <w:p w14:paraId="0000001E" w14:textId="77777777" w:rsidR="004F47B9" w:rsidRDefault="00000000">
      <w:pPr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>También tiene consecuencias físicas como migrañas, contracturas, opresión torácica, problemas gastrointestinales y dolor crónico asociado a las violencias sexuales. Además, genera dificultades para confiar en profesionales sanitarios lo que provoca retrasos en la atención médica y necesidades de salud desatendidas.</w:t>
      </w:r>
    </w:p>
    <w:p w14:paraId="0000001F" w14:textId="77777777" w:rsidR="004F47B9" w:rsidRDefault="00000000">
      <w:pPr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</w:p>
    <w:p w14:paraId="00000020" w14:textId="77777777" w:rsidR="004F47B9" w:rsidRDefault="00000000">
      <w:r>
        <w:rPr>
          <w:b/>
          <w:bCs/>
        </w:rPr>
        <w:t xml:space="preserve">Contacto para prensa: </w:t>
      </w:r>
      <w:r>
        <w:t xml:space="preserve">Sara </w:t>
      </w:r>
      <w:proofErr w:type="spellStart"/>
      <w:proofErr w:type="gramStart"/>
      <w:r>
        <w:t>Recuenco</w:t>
      </w:r>
      <w:proofErr w:type="spellEnd"/>
      <w:r>
        <w:t xml:space="preserve">  prensa@felgtbi.org</w:t>
      </w:r>
      <w:proofErr w:type="gramEnd"/>
      <w:r>
        <w:t xml:space="preserve"> +34 635 43 73 21</w:t>
      </w:r>
    </w:p>
    <w:p w14:paraId="00000021" w14:textId="77777777" w:rsidR="004F47B9" w:rsidRDefault="00000000">
      <w:r>
        <w:t xml:space="preserve"> </w:t>
      </w:r>
    </w:p>
    <w:p w14:paraId="00000022" w14:textId="77777777" w:rsidR="004F47B9" w:rsidRDefault="004F47B9"/>
    <w:sectPr w:rsidR="004F47B9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3C8A3" w14:textId="77777777" w:rsidR="00322888" w:rsidRDefault="00322888" w:rsidP="009F3193">
      <w:pPr>
        <w:spacing w:line="240" w:lineRule="auto"/>
      </w:pPr>
      <w:r>
        <w:separator/>
      </w:r>
    </w:p>
  </w:endnote>
  <w:endnote w:type="continuationSeparator" w:id="0">
    <w:p w14:paraId="3B55C5FB" w14:textId="77777777" w:rsidR="00322888" w:rsidRDefault="00322888" w:rsidP="009F31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" w:fontKey="{916A4596-21D5-4766-8562-7C56A921D85B}"/>
    <w:embedBold r:id="rId2" w:fontKey="{B7A9C2B4-4492-4A1B-85A4-AB3CD95B1E97}"/>
    <w:embedItalic r:id="rId3" w:fontKey="{7A493547-E9E1-4C40-AE18-8F44472EB24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90F7689-AEFB-4A86-806A-C84E86FFE62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06AAA00-E399-401D-88C4-D578D8BD877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BE592" w14:textId="77777777" w:rsidR="00322888" w:rsidRDefault="00322888" w:rsidP="009F3193">
      <w:pPr>
        <w:spacing w:line="240" w:lineRule="auto"/>
      </w:pPr>
      <w:r>
        <w:separator/>
      </w:r>
    </w:p>
  </w:footnote>
  <w:footnote w:type="continuationSeparator" w:id="0">
    <w:p w14:paraId="7328EF98" w14:textId="77777777" w:rsidR="00322888" w:rsidRDefault="00322888" w:rsidP="009F31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46B24" w14:textId="56AD8FFC" w:rsidR="009F3193" w:rsidRDefault="009F3193">
    <w:pPr>
      <w:pStyle w:val="Encabezado"/>
    </w:pPr>
    <w:r>
      <w:rPr>
        <w:noProof/>
      </w:rPr>
      <w:drawing>
        <wp:inline distT="0" distB="0" distL="0" distR="0" wp14:anchorId="06B53602" wp14:editId="6DE03BE2">
          <wp:extent cx="1898650" cy="466721"/>
          <wp:effectExtent l="0" t="0" r="635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1580" cy="469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7B9"/>
    <w:rsid w:val="00080C65"/>
    <w:rsid w:val="00097268"/>
    <w:rsid w:val="00116498"/>
    <w:rsid w:val="001A7208"/>
    <w:rsid w:val="00322888"/>
    <w:rsid w:val="00451BDF"/>
    <w:rsid w:val="004F47B9"/>
    <w:rsid w:val="007B5904"/>
    <w:rsid w:val="009F3193"/>
    <w:rsid w:val="00A91269"/>
    <w:rsid w:val="00A93EB6"/>
    <w:rsid w:val="00B1227D"/>
    <w:rsid w:val="00D038C6"/>
    <w:rsid w:val="00D91DD5"/>
    <w:rsid w:val="00E43880"/>
    <w:rsid w:val="00FF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5DEDD"/>
  <w15:docId w15:val="{4B2A61C1-CD47-4219-86C3-72E0C7A76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9F3193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F3193"/>
  </w:style>
  <w:style w:type="paragraph" w:styleId="Piedepgina">
    <w:name w:val="footer"/>
    <w:basedOn w:val="Normal"/>
    <w:link w:val="PiedepginaCar"/>
    <w:uiPriority w:val="99"/>
    <w:unhideWhenUsed/>
    <w:rsid w:val="009F3193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F3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940</Words>
  <Characters>5175</Characters>
  <Application>Microsoft Office Word</Application>
  <DocSecurity>0</DocSecurity>
  <Lines>43</Lines>
  <Paragraphs>12</Paragraphs>
  <ScaleCrop>false</ScaleCrop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25Felgtbi05</dc:creator>
  <cp:lastModifiedBy>25Felgtbi05</cp:lastModifiedBy>
  <cp:revision>8</cp:revision>
  <dcterms:created xsi:type="dcterms:W3CDTF">2026-11-05T10:05:00Z</dcterms:created>
  <dcterms:modified xsi:type="dcterms:W3CDTF">2026-11-05T10:11:00Z</dcterms:modified>
</cp:coreProperties>
</file>