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2AB8" w14:textId="1E5A987D" w:rsidR="00F46E4B" w:rsidRDefault="007834C3" w:rsidP="00F46E4B">
      <w:pPr>
        <w:pStyle w:val="NormalWeb"/>
        <w:spacing w:before="240" w:beforeAutospacing="0" w:after="240" w:afterAutospacing="0"/>
        <w:jc w:val="right"/>
      </w:pPr>
      <w:r>
        <w:rPr>
          <w:rFonts w:ascii="Trebuchet MS" w:hAnsi="Trebuchet MS"/>
          <w:b/>
          <w:bCs/>
          <w:color w:val="000000"/>
          <w:sz w:val="22"/>
          <w:szCs w:val="22"/>
        </w:rPr>
        <w:t>Nota</w:t>
      </w:r>
      <w:r w:rsidR="00F46E4B">
        <w:rPr>
          <w:rFonts w:ascii="Trebuchet MS" w:hAnsi="Trebuchet MS"/>
          <w:b/>
          <w:bCs/>
          <w:color w:val="000000"/>
          <w:sz w:val="22"/>
          <w:szCs w:val="22"/>
        </w:rPr>
        <w:t xml:space="preserve"> de prensa</w:t>
      </w:r>
    </w:p>
    <w:p w14:paraId="7EAAE0DB" w14:textId="77777777" w:rsidR="00F46E4B" w:rsidRDefault="00F46E4B" w:rsidP="00F46E4B">
      <w:pPr>
        <w:pStyle w:val="NormalWeb"/>
        <w:shd w:val="clear" w:color="auto" w:fill="FFFFFF"/>
        <w:spacing w:before="0" w:beforeAutospacing="0" w:after="0" w:afterAutospacing="0"/>
        <w:jc w:val="center"/>
      </w:pPr>
      <w:r>
        <w:rPr>
          <w:rFonts w:ascii="Trebuchet MS" w:hAnsi="Trebuchet MS"/>
          <w:b/>
          <w:bCs/>
          <w:color w:val="000000"/>
          <w:sz w:val="18"/>
          <w:szCs w:val="18"/>
        </w:rPr>
        <w:t> </w:t>
      </w:r>
    </w:p>
    <w:p w14:paraId="7CE5A6CC" w14:textId="77777777" w:rsidR="00592E39" w:rsidRDefault="00592E39" w:rsidP="00592E39">
      <w:pPr>
        <w:pStyle w:val="NormalWeb"/>
        <w:shd w:val="clear" w:color="auto" w:fill="FFFFFF"/>
        <w:spacing w:before="240" w:beforeAutospacing="0" w:after="0" w:afterAutospacing="0"/>
        <w:jc w:val="center"/>
      </w:pPr>
      <w:r>
        <w:rPr>
          <w:rFonts w:ascii="Trebuchet MS" w:hAnsi="Trebuchet MS"/>
          <w:b/>
          <w:bCs/>
          <w:color w:val="000000"/>
          <w:sz w:val="30"/>
          <w:szCs w:val="30"/>
        </w:rPr>
        <w:t>España mejora siete puestos y alcanza la cuarta posición europea en derechos LGTBI+ gracias a la Ley LGTBI+</w:t>
      </w:r>
    </w:p>
    <w:p w14:paraId="25961D4D" w14:textId="77777777" w:rsidR="00592E39" w:rsidRDefault="00592E39" w:rsidP="00592E39">
      <w:pPr>
        <w:pStyle w:val="NormalWeb"/>
        <w:shd w:val="clear" w:color="auto" w:fill="FFFFFF"/>
        <w:spacing w:before="0" w:beforeAutospacing="0" w:after="0" w:afterAutospacing="0"/>
        <w:jc w:val="both"/>
        <w:rPr>
          <w:color w:val="444444"/>
          <w:sz w:val="14"/>
          <w:szCs w:val="14"/>
        </w:rPr>
      </w:pPr>
      <w:r>
        <w:rPr>
          <w:color w:val="000000"/>
        </w:rPr>
        <w:t> </w:t>
      </w:r>
      <w:r>
        <w:rPr>
          <w:rFonts w:ascii="Arial" w:hAnsi="Arial" w:cs="Arial"/>
          <w:color w:val="444444"/>
          <w:sz w:val="18"/>
          <w:szCs w:val="18"/>
        </w:rPr>
        <w:t>·</w:t>
      </w:r>
    </w:p>
    <w:p w14:paraId="113CEA0E" w14:textId="27BA111F" w:rsidR="00592E39" w:rsidRDefault="00592E39" w:rsidP="00592E39">
      <w:pPr>
        <w:pStyle w:val="NormalWeb"/>
        <w:numPr>
          <w:ilvl w:val="0"/>
          <w:numId w:val="42"/>
        </w:numPr>
        <w:shd w:val="clear" w:color="auto" w:fill="FFFFFF"/>
        <w:spacing w:before="0" w:beforeAutospacing="0" w:after="0" w:afterAutospacing="0"/>
        <w:jc w:val="both"/>
      </w:pPr>
      <w:r>
        <w:rPr>
          <w:rFonts w:ascii="Trebuchet MS" w:hAnsi="Trebuchet MS"/>
          <w:b/>
          <w:bCs/>
          <w:color w:val="444444"/>
          <w:sz w:val="18"/>
          <w:szCs w:val="18"/>
        </w:rPr>
        <w:t>Según el Índice Arco iris que elabora anualmente la organización internacional de derechos LGTBI+, ILGA Europa, y analiza la situación legal y política de las personas LGBTI+ en 49 países europeos</w:t>
      </w:r>
    </w:p>
    <w:p w14:paraId="68EBDDFF" w14:textId="282FAC41" w:rsidR="00592E39" w:rsidRDefault="00592E39" w:rsidP="00592E39">
      <w:pPr>
        <w:pStyle w:val="NormalWeb"/>
        <w:shd w:val="clear" w:color="auto" w:fill="FFFFFF"/>
        <w:spacing w:before="0" w:beforeAutospacing="0" w:after="0" w:afterAutospacing="0"/>
        <w:ind w:left="720" w:hanging="300"/>
        <w:jc w:val="both"/>
      </w:pPr>
    </w:p>
    <w:p w14:paraId="3BB06158" w14:textId="77777777" w:rsidR="00592E39" w:rsidRDefault="00592E39" w:rsidP="00592E39">
      <w:pPr>
        <w:pStyle w:val="NormalWeb"/>
        <w:spacing w:before="240" w:beforeAutospacing="0" w:after="0" w:afterAutospacing="0"/>
        <w:jc w:val="both"/>
      </w:pPr>
      <w:r>
        <w:rPr>
          <w:rFonts w:ascii="Trebuchet MS" w:hAnsi="Trebuchet MS"/>
          <w:color w:val="000000"/>
          <w:sz w:val="22"/>
          <w:szCs w:val="22"/>
        </w:rPr>
        <w:t xml:space="preserve">Madrid. 11/05/2023.- España asciende siete puestos y ocupa la cuarta posición en el </w:t>
      </w:r>
      <w:proofErr w:type="spellStart"/>
      <w:r>
        <w:rPr>
          <w:rFonts w:ascii="Trebuchet MS" w:hAnsi="Trebuchet MS"/>
          <w:color w:val="000000"/>
          <w:sz w:val="22"/>
          <w:szCs w:val="22"/>
        </w:rPr>
        <w:t>ránking</w:t>
      </w:r>
      <w:proofErr w:type="spellEnd"/>
      <w:r>
        <w:rPr>
          <w:rFonts w:ascii="Trebuchet MS" w:hAnsi="Trebuchet MS"/>
          <w:color w:val="000000"/>
          <w:sz w:val="22"/>
          <w:szCs w:val="22"/>
        </w:rPr>
        <w:t xml:space="preserve"> de países más respetuosos con los derechos LGTBI+ elaborado por la entidad de derechos humanos ILGA Europa. Según esta entidad internacional, la reciente aprobación de la Ley Trans y LGTBI+, que reconoce la autodeterminación de género para las personas trans, entre otras medidas contra la discriminación por orientación sexual o identidad de género, ha hecho que España suba siete puestos con respecto a su posición anterior en este índice internacional.</w:t>
      </w:r>
    </w:p>
    <w:p w14:paraId="78934169" w14:textId="77777777" w:rsidR="00592E39" w:rsidRDefault="00592E39" w:rsidP="00592E39">
      <w:pPr>
        <w:pStyle w:val="NormalWeb"/>
        <w:spacing w:before="240" w:beforeAutospacing="0" w:after="0" w:afterAutospacing="0"/>
        <w:jc w:val="both"/>
      </w:pPr>
      <w:r>
        <w:rPr>
          <w:rFonts w:ascii="Trebuchet MS" w:hAnsi="Trebuchet MS"/>
          <w:color w:val="000000"/>
          <w:sz w:val="22"/>
          <w:szCs w:val="22"/>
        </w:rPr>
        <w:t>Se trata del Índice Arco iris que elabora anualmente la principal organización europea de defensa de los derechos de las personas LGBTI+, ILGA Europa, y analiza la situación legal y política de las personas LGBTI+ en 49 países. Según esta entidad, “aunque el discurso público es cada vez más polarizado y violento, en particular contra las personas trans, la determinación política de promover los derechos de las personas LGBTI+ está dando sus frutos”. “Los mayores avances en el mapa corresponden a los países que introdujeron el reconocimiento legal de género siguiendo un modelo de autodeterminación”, describen a través de su informe.</w:t>
      </w:r>
    </w:p>
    <w:p w14:paraId="44414E2F" w14:textId="77777777" w:rsidR="00592E39" w:rsidRDefault="00592E39" w:rsidP="00592E39">
      <w:pPr>
        <w:pStyle w:val="NormalWeb"/>
        <w:spacing w:before="240" w:beforeAutospacing="0" w:after="0" w:afterAutospacing="0"/>
        <w:jc w:val="both"/>
      </w:pPr>
      <w:r>
        <w:rPr>
          <w:rFonts w:ascii="Trebuchet MS" w:hAnsi="Trebuchet MS"/>
          <w:color w:val="000000"/>
          <w:sz w:val="22"/>
          <w:szCs w:val="22"/>
        </w:rPr>
        <w:t xml:space="preserve">Por su parte, Óscar Rodríguez, vocal de Relaciones Exteriores de la Federación Estatal LGTBI+, organización que ha colaborado en la elaboración de este informe, ha celebrado este ascenso, “fruto del trabajo de incidencia del asociacionismo LGTBI+ con el apoyo de la sociedad civil.” y ha aplaudido que España vuelva a situarse “a la vanguardia internacional de los derechos LGTBI+ como ya sucedió con la aprobación del matrimonio igualitario, cuando España ocupó el segundo puesto en el </w:t>
      </w:r>
      <w:proofErr w:type="spellStart"/>
      <w:r>
        <w:rPr>
          <w:rFonts w:ascii="Trebuchet MS" w:hAnsi="Trebuchet MS"/>
          <w:color w:val="000000"/>
          <w:sz w:val="22"/>
          <w:szCs w:val="22"/>
        </w:rPr>
        <w:t>ránking</w:t>
      </w:r>
      <w:proofErr w:type="spellEnd"/>
      <w:r>
        <w:rPr>
          <w:rFonts w:ascii="Trebuchet MS" w:hAnsi="Trebuchet MS"/>
          <w:color w:val="000000"/>
          <w:sz w:val="22"/>
          <w:szCs w:val="22"/>
        </w:rPr>
        <w:t>”. </w:t>
      </w:r>
    </w:p>
    <w:p w14:paraId="1861306D" w14:textId="77777777" w:rsidR="00592E39" w:rsidRDefault="00592E39" w:rsidP="00592E39">
      <w:pPr>
        <w:pStyle w:val="NormalWeb"/>
        <w:spacing w:before="240" w:beforeAutospacing="0" w:after="0" w:afterAutospacing="0"/>
        <w:jc w:val="both"/>
      </w:pPr>
      <w:r>
        <w:rPr>
          <w:rFonts w:ascii="Trebuchet MS" w:hAnsi="Trebuchet MS"/>
          <w:color w:val="000000"/>
          <w:sz w:val="22"/>
          <w:szCs w:val="22"/>
        </w:rPr>
        <w:t>“Nuestra posición de liderazgo en materia de derechos LGTBI+ debe de ser un motivo de celebración y de orgullo, pero no nos puede hacer caer en la autocomplacencia. Desde la Federación Estatal LGTBI+ trabajaremos para garantizar que los derechos logrados se apliquen en todo el territorio nacional, instando a las autoridades competentes a que destinen recursos específicos. También para frenar el discurso de odio, cada vez más presente en la esfera pública, que legitima la violencia en las calles. Solo de esta manera podremos seguir avanzando.”, manifiesta. </w:t>
      </w:r>
    </w:p>
    <w:p w14:paraId="638B86C9" w14:textId="77777777" w:rsidR="00592E39" w:rsidRDefault="00592E39" w:rsidP="00592E39">
      <w:pPr>
        <w:pStyle w:val="NormalWeb"/>
        <w:spacing w:before="240" w:beforeAutospacing="0" w:after="0" w:afterAutospacing="0"/>
        <w:jc w:val="both"/>
      </w:pPr>
      <w:r>
        <w:rPr>
          <w:rFonts w:ascii="Trebuchet MS" w:hAnsi="Trebuchet MS"/>
          <w:color w:val="000000"/>
          <w:sz w:val="22"/>
          <w:szCs w:val="22"/>
        </w:rPr>
        <w:t>Por encima de España, Malta encabeza este índice por octavo año consecutivo. Asimismo, Bélgica ha ascendido hasta el segundo puesto, con una subida de cuatro puntos con respecto a su posición anterior, gracias a la inclusión de la identidad de género y las características sexuales como factores agravantes en el código penal del país.  Dinamarca ocupa el tercer lugar, con una subida de dos puntos debida a su nuevo plan de acción para la igualdad, que incluye medidas específicas sobre orientación sexual e identidad de género. </w:t>
      </w:r>
    </w:p>
    <w:p w14:paraId="7ABEA7E7" w14:textId="77777777" w:rsidR="00592E39" w:rsidRDefault="00592E39" w:rsidP="00592E39">
      <w:pPr>
        <w:pStyle w:val="NormalWeb"/>
        <w:spacing w:before="240" w:beforeAutospacing="0" w:after="0" w:afterAutospacing="0"/>
        <w:jc w:val="both"/>
      </w:pPr>
      <w:r>
        <w:rPr>
          <w:rFonts w:ascii="Trebuchet MS" w:hAnsi="Trebuchet MS"/>
          <w:color w:val="000000"/>
          <w:sz w:val="22"/>
          <w:szCs w:val="22"/>
        </w:rPr>
        <w:lastRenderedPageBreak/>
        <w:t>Además, otros países, como Islandia o Moldavia, que ha incluido la identidad de género y las características sexuales en su legislación contra la discriminación y/o los delitos de odio también han tenido un ascenso significativo en la tabla, al igual que España. </w:t>
      </w:r>
    </w:p>
    <w:p w14:paraId="1BAD480F" w14:textId="39EF6892" w:rsidR="006E7F13" w:rsidRPr="002E36FA" w:rsidRDefault="00BD6AAC" w:rsidP="00BD6AAC">
      <w:pPr>
        <w:pStyle w:val="NormalWeb"/>
        <w:spacing w:before="240" w:beforeAutospacing="0" w:after="240" w:afterAutospacing="0"/>
        <w:jc w:val="both"/>
        <w:rPr>
          <w:rFonts w:ascii="Trebuchet MS" w:hAnsi="Trebuchet MS"/>
          <w:color w:val="000000"/>
        </w:rPr>
      </w:pPr>
      <w:r>
        <w:rPr>
          <w:rFonts w:ascii="Trebuchet MS" w:hAnsi="Trebuchet MS"/>
          <w:color w:val="000000"/>
          <w:sz w:val="22"/>
          <w:szCs w:val="22"/>
        </w:rPr>
        <w:t xml:space="preserve">Contacto para prensa: </w:t>
      </w:r>
      <w:r>
        <w:rPr>
          <w:rFonts w:ascii="Arial" w:hAnsi="Arial" w:cs="Arial"/>
          <w:color w:val="D71F85"/>
          <w:sz w:val="22"/>
          <w:szCs w:val="22"/>
          <w:shd w:val="clear" w:color="auto" w:fill="FFFFFF"/>
        </w:rPr>
        <w:t xml:space="preserve">prensa@felgtb.org / </w:t>
      </w:r>
      <w:r>
        <w:rPr>
          <w:rFonts w:ascii="Arial" w:hAnsi="Arial" w:cs="Arial"/>
          <w:color w:val="222222"/>
          <w:sz w:val="22"/>
          <w:szCs w:val="22"/>
          <w:shd w:val="clear" w:color="auto" w:fill="FFFFFF"/>
        </w:rPr>
        <w:t>91.080.85.00 – 635.43.73.21</w:t>
      </w:r>
    </w:p>
    <w:sectPr w:rsidR="006E7F13" w:rsidRPr="002E36FA" w:rsidSect="004F5BD2">
      <w:headerReference w:type="default" r:id="rId7"/>
      <w:foot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2982" w14:textId="77777777" w:rsidR="009C6789" w:rsidRDefault="009C6789" w:rsidP="00D25C5B">
      <w:pPr>
        <w:spacing w:after="0" w:line="240" w:lineRule="auto"/>
      </w:pPr>
      <w:r>
        <w:separator/>
      </w:r>
    </w:p>
  </w:endnote>
  <w:endnote w:type="continuationSeparator" w:id="0">
    <w:p w14:paraId="25779C56" w14:textId="77777777" w:rsidR="009C6789" w:rsidRDefault="009C6789"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9EB" w14:textId="77777777" w:rsidR="00A311BF" w:rsidRDefault="00A311BF" w:rsidP="00A311BF">
    <w:pPr>
      <w:pStyle w:val="Piedepgina"/>
      <w:jc w:val="center"/>
    </w:pPr>
  </w:p>
  <w:p w14:paraId="25BA6382" w14:textId="073DDD81"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D8E8" w14:textId="77777777" w:rsidR="009C6789" w:rsidRDefault="009C6789" w:rsidP="00D25C5B">
      <w:pPr>
        <w:spacing w:after="0" w:line="240" w:lineRule="auto"/>
      </w:pPr>
      <w:r>
        <w:separator/>
      </w:r>
    </w:p>
  </w:footnote>
  <w:footnote w:type="continuationSeparator" w:id="0">
    <w:p w14:paraId="6509F047" w14:textId="77777777" w:rsidR="009C6789" w:rsidRDefault="009C6789"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98F" w14:textId="77777777"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03114FF0">
          <wp:simplePos x="0" y="0"/>
          <wp:positionH relativeFrom="margin">
            <wp:posOffset>4017303</wp:posOffset>
          </wp:positionH>
          <wp:positionV relativeFrom="paragraph">
            <wp:posOffset>-319925</wp:posOffset>
          </wp:positionV>
          <wp:extent cx="1879287" cy="748578"/>
          <wp:effectExtent l="0" t="0" r="0" b="0"/>
          <wp:wrapNone/>
          <wp:docPr id="7" name="Imagen 7"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7777777"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5293F8B"/>
    <w:multiLevelType w:val="hybridMultilevel"/>
    <w:tmpl w:val="FBD01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2" w15:restartNumberingAfterBreak="0">
    <w:nsid w:val="30B43044"/>
    <w:multiLevelType w:val="hybridMultilevel"/>
    <w:tmpl w:val="D1FC50FA"/>
    <w:lvl w:ilvl="0" w:tplc="0C0A0001">
      <w:start w:val="1"/>
      <w:numFmt w:val="bullet"/>
      <w:lvlText w:val=""/>
      <w:lvlJc w:val="left"/>
      <w:pPr>
        <w:ind w:left="1795" w:hanging="360"/>
      </w:pPr>
      <w:rPr>
        <w:rFonts w:ascii="Symbol" w:hAnsi="Symbol" w:hint="default"/>
      </w:rPr>
    </w:lvl>
    <w:lvl w:ilvl="1" w:tplc="0C0A0003" w:tentative="1">
      <w:start w:val="1"/>
      <w:numFmt w:val="bullet"/>
      <w:lvlText w:val="o"/>
      <w:lvlJc w:val="left"/>
      <w:pPr>
        <w:ind w:left="2515" w:hanging="360"/>
      </w:pPr>
      <w:rPr>
        <w:rFonts w:ascii="Courier New" w:hAnsi="Courier New" w:cs="Courier New" w:hint="default"/>
      </w:rPr>
    </w:lvl>
    <w:lvl w:ilvl="2" w:tplc="0C0A0005" w:tentative="1">
      <w:start w:val="1"/>
      <w:numFmt w:val="bullet"/>
      <w:lvlText w:val=""/>
      <w:lvlJc w:val="left"/>
      <w:pPr>
        <w:ind w:left="3235" w:hanging="360"/>
      </w:pPr>
      <w:rPr>
        <w:rFonts w:ascii="Wingdings" w:hAnsi="Wingdings" w:hint="default"/>
      </w:rPr>
    </w:lvl>
    <w:lvl w:ilvl="3" w:tplc="0C0A0001" w:tentative="1">
      <w:start w:val="1"/>
      <w:numFmt w:val="bullet"/>
      <w:lvlText w:val=""/>
      <w:lvlJc w:val="left"/>
      <w:pPr>
        <w:ind w:left="3955" w:hanging="360"/>
      </w:pPr>
      <w:rPr>
        <w:rFonts w:ascii="Symbol" w:hAnsi="Symbol" w:hint="default"/>
      </w:rPr>
    </w:lvl>
    <w:lvl w:ilvl="4" w:tplc="0C0A0003" w:tentative="1">
      <w:start w:val="1"/>
      <w:numFmt w:val="bullet"/>
      <w:lvlText w:val="o"/>
      <w:lvlJc w:val="left"/>
      <w:pPr>
        <w:ind w:left="4675" w:hanging="360"/>
      </w:pPr>
      <w:rPr>
        <w:rFonts w:ascii="Courier New" w:hAnsi="Courier New" w:cs="Courier New" w:hint="default"/>
      </w:rPr>
    </w:lvl>
    <w:lvl w:ilvl="5" w:tplc="0C0A0005" w:tentative="1">
      <w:start w:val="1"/>
      <w:numFmt w:val="bullet"/>
      <w:lvlText w:val=""/>
      <w:lvlJc w:val="left"/>
      <w:pPr>
        <w:ind w:left="5395" w:hanging="360"/>
      </w:pPr>
      <w:rPr>
        <w:rFonts w:ascii="Wingdings" w:hAnsi="Wingdings" w:hint="default"/>
      </w:rPr>
    </w:lvl>
    <w:lvl w:ilvl="6" w:tplc="0C0A0001" w:tentative="1">
      <w:start w:val="1"/>
      <w:numFmt w:val="bullet"/>
      <w:lvlText w:val=""/>
      <w:lvlJc w:val="left"/>
      <w:pPr>
        <w:ind w:left="6115" w:hanging="360"/>
      </w:pPr>
      <w:rPr>
        <w:rFonts w:ascii="Symbol" w:hAnsi="Symbol" w:hint="default"/>
      </w:rPr>
    </w:lvl>
    <w:lvl w:ilvl="7" w:tplc="0C0A0003" w:tentative="1">
      <w:start w:val="1"/>
      <w:numFmt w:val="bullet"/>
      <w:lvlText w:val="o"/>
      <w:lvlJc w:val="left"/>
      <w:pPr>
        <w:ind w:left="6835" w:hanging="360"/>
      </w:pPr>
      <w:rPr>
        <w:rFonts w:ascii="Courier New" w:hAnsi="Courier New" w:cs="Courier New" w:hint="default"/>
      </w:rPr>
    </w:lvl>
    <w:lvl w:ilvl="8" w:tplc="0C0A0005" w:tentative="1">
      <w:start w:val="1"/>
      <w:numFmt w:val="bullet"/>
      <w:lvlText w:val=""/>
      <w:lvlJc w:val="left"/>
      <w:pPr>
        <w:ind w:left="7555" w:hanging="360"/>
      </w:pPr>
      <w:rPr>
        <w:rFonts w:ascii="Wingdings" w:hAnsi="Wingdings" w:hint="default"/>
      </w:rPr>
    </w:lvl>
  </w:abstractNum>
  <w:abstractNum w:abstractNumId="13"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6"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9"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0"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5"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3627D"/>
    <w:multiLevelType w:val="hybridMultilevel"/>
    <w:tmpl w:val="24403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7037013">
    <w:abstractNumId w:val="4"/>
  </w:num>
  <w:num w:numId="2" w16cid:durableId="355086023">
    <w:abstractNumId w:val="5"/>
  </w:num>
  <w:num w:numId="3" w16cid:durableId="394400477">
    <w:abstractNumId w:val="11"/>
  </w:num>
  <w:num w:numId="4" w16cid:durableId="1614677321">
    <w:abstractNumId w:val="18"/>
  </w:num>
  <w:num w:numId="5" w16cid:durableId="1621494653">
    <w:abstractNumId w:val="23"/>
  </w:num>
  <w:num w:numId="6" w16cid:durableId="1403023140">
    <w:abstractNumId w:val="24"/>
  </w:num>
  <w:num w:numId="7" w16cid:durableId="1589145955">
    <w:abstractNumId w:val="14"/>
  </w:num>
  <w:num w:numId="8" w16cid:durableId="2053773862">
    <w:abstractNumId w:val="7"/>
  </w:num>
  <w:num w:numId="9" w16cid:durableId="1484850144">
    <w:abstractNumId w:val="9"/>
  </w:num>
  <w:num w:numId="10" w16cid:durableId="1920408381">
    <w:abstractNumId w:val="1"/>
    <w:lvlOverride w:ilvl="0">
      <w:lvl w:ilvl="0">
        <w:numFmt w:val="decimal"/>
        <w:lvlText w:val="%1."/>
        <w:lvlJc w:val="left"/>
      </w:lvl>
    </w:lvlOverride>
  </w:num>
  <w:num w:numId="11" w16cid:durableId="1028524743">
    <w:abstractNumId w:val="1"/>
    <w:lvlOverride w:ilvl="0">
      <w:lvl w:ilvl="0">
        <w:numFmt w:val="decimal"/>
        <w:lvlText w:val="%1."/>
        <w:lvlJc w:val="left"/>
      </w:lvl>
    </w:lvlOverride>
  </w:num>
  <w:num w:numId="12" w16cid:durableId="2132430490">
    <w:abstractNumId w:val="1"/>
    <w:lvlOverride w:ilvl="0">
      <w:lvl w:ilvl="0">
        <w:numFmt w:val="decimal"/>
        <w:lvlText w:val="%1."/>
        <w:lvlJc w:val="left"/>
      </w:lvl>
    </w:lvlOverride>
  </w:num>
  <w:num w:numId="13" w16cid:durableId="822236705">
    <w:abstractNumId w:val="1"/>
    <w:lvlOverride w:ilvl="0">
      <w:lvl w:ilvl="0">
        <w:numFmt w:val="decimal"/>
        <w:lvlText w:val="%1."/>
        <w:lvlJc w:val="left"/>
      </w:lvl>
    </w:lvlOverride>
  </w:num>
  <w:num w:numId="14" w16cid:durableId="1521435275">
    <w:abstractNumId w:val="30"/>
  </w:num>
  <w:num w:numId="15" w16cid:durableId="793406545">
    <w:abstractNumId w:val="28"/>
    <w:lvlOverride w:ilvl="0">
      <w:lvl w:ilvl="0">
        <w:numFmt w:val="decimal"/>
        <w:lvlText w:val="%1."/>
        <w:lvlJc w:val="left"/>
      </w:lvl>
    </w:lvlOverride>
  </w:num>
  <w:num w:numId="16" w16cid:durableId="2122918596">
    <w:abstractNumId w:val="28"/>
    <w:lvlOverride w:ilvl="0">
      <w:lvl w:ilvl="0">
        <w:numFmt w:val="decimal"/>
        <w:lvlText w:val="%1."/>
        <w:lvlJc w:val="left"/>
      </w:lvl>
    </w:lvlOverride>
  </w:num>
  <w:num w:numId="17" w16cid:durableId="158009440">
    <w:abstractNumId w:val="28"/>
    <w:lvlOverride w:ilvl="0">
      <w:lvl w:ilvl="0">
        <w:numFmt w:val="decimal"/>
        <w:lvlText w:val="%1."/>
        <w:lvlJc w:val="left"/>
      </w:lvl>
    </w:lvlOverride>
  </w:num>
  <w:num w:numId="18" w16cid:durableId="586577266">
    <w:abstractNumId w:val="28"/>
    <w:lvlOverride w:ilvl="0">
      <w:lvl w:ilvl="0">
        <w:numFmt w:val="decimal"/>
        <w:lvlText w:val="%1."/>
        <w:lvlJc w:val="left"/>
      </w:lvl>
    </w:lvlOverride>
  </w:num>
  <w:num w:numId="19" w16cid:durableId="1380859391">
    <w:abstractNumId w:val="28"/>
    <w:lvlOverride w:ilvl="0">
      <w:lvl w:ilvl="0">
        <w:numFmt w:val="decimal"/>
        <w:lvlText w:val="%1."/>
        <w:lvlJc w:val="left"/>
      </w:lvl>
    </w:lvlOverride>
  </w:num>
  <w:num w:numId="20" w16cid:durableId="327173599">
    <w:abstractNumId w:val="28"/>
    <w:lvlOverride w:ilvl="0">
      <w:lvl w:ilvl="0">
        <w:numFmt w:val="decimal"/>
        <w:lvlText w:val="%1."/>
        <w:lvlJc w:val="left"/>
      </w:lvl>
    </w:lvlOverride>
  </w:num>
  <w:num w:numId="21" w16cid:durableId="1479952893">
    <w:abstractNumId w:val="6"/>
  </w:num>
  <w:num w:numId="22" w16cid:durableId="263540808">
    <w:abstractNumId w:val="15"/>
  </w:num>
  <w:num w:numId="23" w16cid:durableId="1751122728">
    <w:abstractNumId w:val="25"/>
  </w:num>
  <w:num w:numId="24" w16cid:durableId="915746020">
    <w:abstractNumId w:val="22"/>
  </w:num>
  <w:num w:numId="25" w16cid:durableId="2042582212">
    <w:abstractNumId w:val="31"/>
  </w:num>
  <w:num w:numId="26" w16cid:durableId="1579054959">
    <w:abstractNumId w:val="16"/>
  </w:num>
  <w:num w:numId="27" w16cid:durableId="315300374">
    <w:abstractNumId w:val="26"/>
  </w:num>
  <w:num w:numId="28" w16cid:durableId="501284963">
    <w:abstractNumId w:val="2"/>
  </w:num>
  <w:num w:numId="29" w16cid:durableId="1468666827">
    <w:abstractNumId w:val="0"/>
  </w:num>
  <w:num w:numId="30" w16cid:durableId="74589858">
    <w:abstractNumId w:val="17"/>
  </w:num>
  <w:num w:numId="31" w16cid:durableId="623661472">
    <w:abstractNumId w:val="27"/>
  </w:num>
  <w:num w:numId="32" w16cid:durableId="1317608334">
    <w:abstractNumId w:val="33"/>
  </w:num>
  <w:num w:numId="33" w16cid:durableId="17436741">
    <w:abstractNumId w:val="3"/>
  </w:num>
  <w:num w:numId="34" w16cid:durableId="1707367995">
    <w:abstractNumId w:val="21"/>
  </w:num>
  <w:num w:numId="35" w16cid:durableId="579145637">
    <w:abstractNumId w:val="20"/>
  </w:num>
  <w:num w:numId="36" w16cid:durableId="728378566">
    <w:abstractNumId w:val="13"/>
  </w:num>
  <w:num w:numId="37" w16cid:durableId="462041606">
    <w:abstractNumId w:val="10"/>
  </w:num>
  <w:num w:numId="38" w16cid:durableId="1656031698">
    <w:abstractNumId w:val="32"/>
  </w:num>
  <w:num w:numId="39" w16cid:durableId="2021614253">
    <w:abstractNumId w:val="19"/>
  </w:num>
  <w:num w:numId="40" w16cid:durableId="678773240">
    <w:abstractNumId w:val="12"/>
  </w:num>
  <w:num w:numId="41" w16cid:durableId="1002851507">
    <w:abstractNumId w:val="8"/>
  </w:num>
  <w:num w:numId="42" w16cid:durableId="19437619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B"/>
    <w:rsid w:val="000072A8"/>
    <w:rsid w:val="00011E65"/>
    <w:rsid w:val="00026D50"/>
    <w:rsid w:val="00043773"/>
    <w:rsid w:val="00050B11"/>
    <w:rsid w:val="00051034"/>
    <w:rsid w:val="000554A2"/>
    <w:rsid w:val="00067AA4"/>
    <w:rsid w:val="000A6F9D"/>
    <w:rsid w:val="000C3C5E"/>
    <w:rsid w:val="000C7B25"/>
    <w:rsid w:val="000D4488"/>
    <w:rsid w:val="000F127F"/>
    <w:rsid w:val="000F43C8"/>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1E5BAA"/>
    <w:rsid w:val="0021597B"/>
    <w:rsid w:val="00224B94"/>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E767B"/>
    <w:rsid w:val="002F1AFC"/>
    <w:rsid w:val="003008C4"/>
    <w:rsid w:val="0030318E"/>
    <w:rsid w:val="00304617"/>
    <w:rsid w:val="00305AA1"/>
    <w:rsid w:val="00306ACB"/>
    <w:rsid w:val="0031245C"/>
    <w:rsid w:val="00312A54"/>
    <w:rsid w:val="00314C70"/>
    <w:rsid w:val="00316023"/>
    <w:rsid w:val="00326AF7"/>
    <w:rsid w:val="00330081"/>
    <w:rsid w:val="00331C8C"/>
    <w:rsid w:val="00334B30"/>
    <w:rsid w:val="0033547E"/>
    <w:rsid w:val="003354D5"/>
    <w:rsid w:val="00337AA3"/>
    <w:rsid w:val="0035020E"/>
    <w:rsid w:val="00356871"/>
    <w:rsid w:val="00362F0B"/>
    <w:rsid w:val="00373FE9"/>
    <w:rsid w:val="00393DAE"/>
    <w:rsid w:val="003A0D60"/>
    <w:rsid w:val="003B5724"/>
    <w:rsid w:val="003C1492"/>
    <w:rsid w:val="003C5E8E"/>
    <w:rsid w:val="003D22F0"/>
    <w:rsid w:val="003D2F73"/>
    <w:rsid w:val="003E0AA4"/>
    <w:rsid w:val="003E73AA"/>
    <w:rsid w:val="003F2D51"/>
    <w:rsid w:val="003F4483"/>
    <w:rsid w:val="00402E32"/>
    <w:rsid w:val="00411D55"/>
    <w:rsid w:val="00412084"/>
    <w:rsid w:val="00413CBB"/>
    <w:rsid w:val="00422A0C"/>
    <w:rsid w:val="004256B6"/>
    <w:rsid w:val="004305B9"/>
    <w:rsid w:val="00432307"/>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1FB4"/>
    <w:rsid w:val="004F2D35"/>
    <w:rsid w:val="004F4F3E"/>
    <w:rsid w:val="004F5BD2"/>
    <w:rsid w:val="00536812"/>
    <w:rsid w:val="00544376"/>
    <w:rsid w:val="00547EE0"/>
    <w:rsid w:val="00551E7F"/>
    <w:rsid w:val="00561AC8"/>
    <w:rsid w:val="00570A0E"/>
    <w:rsid w:val="00571F2D"/>
    <w:rsid w:val="0057244F"/>
    <w:rsid w:val="00592E39"/>
    <w:rsid w:val="005B6C80"/>
    <w:rsid w:val="005F012D"/>
    <w:rsid w:val="005F0AAF"/>
    <w:rsid w:val="005F2CFD"/>
    <w:rsid w:val="005F393C"/>
    <w:rsid w:val="006126C9"/>
    <w:rsid w:val="00614A23"/>
    <w:rsid w:val="006423FD"/>
    <w:rsid w:val="00646AB7"/>
    <w:rsid w:val="00671538"/>
    <w:rsid w:val="00682DAD"/>
    <w:rsid w:val="0068410F"/>
    <w:rsid w:val="006A752E"/>
    <w:rsid w:val="006B3296"/>
    <w:rsid w:val="006D55F1"/>
    <w:rsid w:val="006E0F71"/>
    <w:rsid w:val="006E7F13"/>
    <w:rsid w:val="006F06F1"/>
    <w:rsid w:val="006F1F48"/>
    <w:rsid w:val="006F45AD"/>
    <w:rsid w:val="00704EEC"/>
    <w:rsid w:val="00705321"/>
    <w:rsid w:val="00712C30"/>
    <w:rsid w:val="00726318"/>
    <w:rsid w:val="007264CC"/>
    <w:rsid w:val="0072709C"/>
    <w:rsid w:val="0073565E"/>
    <w:rsid w:val="007470FA"/>
    <w:rsid w:val="00747F49"/>
    <w:rsid w:val="0077524D"/>
    <w:rsid w:val="00776860"/>
    <w:rsid w:val="007834C3"/>
    <w:rsid w:val="007A621C"/>
    <w:rsid w:val="007A7347"/>
    <w:rsid w:val="007C1B14"/>
    <w:rsid w:val="007C6094"/>
    <w:rsid w:val="007E3A08"/>
    <w:rsid w:val="007E4F2E"/>
    <w:rsid w:val="007F43DC"/>
    <w:rsid w:val="00807A25"/>
    <w:rsid w:val="00811D01"/>
    <w:rsid w:val="00851F65"/>
    <w:rsid w:val="00853974"/>
    <w:rsid w:val="00855C59"/>
    <w:rsid w:val="00870870"/>
    <w:rsid w:val="0088215D"/>
    <w:rsid w:val="008857DE"/>
    <w:rsid w:val="00886675"/>
    <w:rsid w:val="00895DB6"/>
    <w:rsid w:val="008A37E4"/>
    <w:rsid w:val="008A5E6A"/>
    <w:rsid w:val="008A70A4"/>
    <w:rsid w:val="008B0B3A"/>
    <w:rsid w:val="008B222C"/>
    <w:rsid w:val="008B7078"/>
    <w:rsid w:val="008C5A20"/>
    <w:rsid w:val="008E2634"/>
    <w:rsid w:val="008E6F3D"/>
    <w:rsid w:val="008F3BE4"/>
    <w:rsid w:val="0090087F"/>
    <w:rsid w:val="0090462A"/>
    <w:rsid w:val="00927D60"/>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C0E5D"/>
    <w:rsid w:val="009C6789"/>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399"/>
    <w:rsid w:val="00A846B6"/>
    <w:rsid w:val="00A92445"/>
    <w:rsid w:val="00A942E3"/>
    <w:rsid w:val="00AA18B6"/>
    <w:rsid w:val="00AA6EDB"/>
    <w:rsid w:val="00AB1602"/>
    <w:rsid w:val="00AC0600"/>
    <w:rsid w:val="00AC7B3A"/>
    <w:rsid w:val="00AE1D27"/>
    <w:rsid w:val="00AE2DE4"/>
    <w:rsid w:val="00AE3F37"/>
    <w:rsid w:val="00AF66B8"/>
    <w:rsid w:val="00B0033F"/>
    <w:rsid w:val="00B161AC"/>
    <w:rsid w:val="00B2249F"/>
    <w:rsid w:val="00B24020"/>
    <w:rsid w:val="00B2567A"/>
    <w:rsid w:val="00B259AE"/>
    <w:rsid w:val="00B34C9C"/>
    <w:rsid w:val="00B34E71"/>
    <w:rsid w:val="00B404A7"/>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D6AAC"/>
    <w:rsid w:val="00BE37F0"/>
    <w:rsid w:val="00BE5BE8"/>
    <w:rsid w:val="00BE6C20"/>
    <w:rsid w:val="00C10CB8"/>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47C0"/>
    <w:rsid w:val="00D17B7A"/>
    <w:rsid w:val="00D17F66"/>
    <w:rsid w:val="00D25C5B"/>
    <w:rsid w:val="00D26A59"/>
    <w:rsid w:val="00D31A4B"/>
    <w:rsid w:val="00D3257F"/>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E01E5A"/>
    <w:rsid w:val="00E0300E"/>
    <w:rsid w:val="00E32AAE"/>
    <w:rsid w:val="00E5171D"/>
    <w:rsid w:val="00E52C3F"/>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46E4B"/>
    <w:rsid w:val="00F510D0"/>
    <w:rsid w:val="00F63C72"/>
    <w:rsid w:val="00F707F6"/>
    <w:rsid w:val="00F9367A"/>
    <w:rsid w:val="00FA1404"/>
    <w:rsid w:val="00FA571A"/>
    <w:rsid w:val="00FA6CFC"/>
    <w:rsid w:val="00FB76E0"/>
    <w:rsid w:val="00FC3242"/>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table" w:styleId="Tablaconcuadrcula">
    <w:name w:val="Table Grid"/>
    <w:basedOn w:val="Tablanormal"/>
    <w:uiPriority w:val="59"/>
    <w:rsid w:val="004F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98078809">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768965757">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286620294">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2501959">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32637263">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16817304">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105179477">
      <w:bodyDiv w:val="1"/>
      <w:marLeft w:val="0"/>
      <w:marRight w:val="0"/>
      <w:marTop w:val="0"/>
      <w:marBottom w:val="0"/>
      <w:divBdr>
        <w:top w:val="none" w:sz="0" w:space="0" w:color="auto"/>
        <w:left w:val="none" w:sz="0" w:space="0" w:color="auto"/>
        <w:bottom w:val="none" w:sz="0" w:space="0" w:color="auto"/>
        <w:right w:val="none" w:sz="0" w:space="0" w:color="auto"/>
      </w:divBdr>
    </w:div>
    <w:div w:id="21142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dcterms:created xsi:type="dcterms:W3CDTF">2023-05-11T07:52:00Z</dcterms:created>
  <dcterms:modified xsi:type="dcterms:W3CDTF">2023-05-11T07:52:00Z</dcterms:modified>
</cp:coreProperties>
</file>