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517" w:rsidRDefault="00B07517">
      <w:pPr>
        <w:spacing w:before="240"/>
        <w:ind w:left="720"/>
        <w:jc w:val="right"/>
        <w:rPr>
          <w:rFonts w:ascii="Trebuchet MS" w:eastAsia="Trebuchet MS" w:hAnsi="Trebuchet MS" w:cs="Trebuchet MS"/>
          <w:b/>
          <w:sz w:val="32"/>
          <w:szCs w:val="32"/>
        </w:rPr>
      </w:pPr>
      <w:r>
        <w:rPr>
          <w:noProof/>
          <w:lang w:val="es-E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4090425</wp:posOffset>
            </wp:positionH>
            <wp:positionV relativeFrom="paragraph">
              <wp:posOffset>-248090</wp:posOffset>
            </wp:positionV>
            <wp:extent cx="1890395" cy="61087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0395" cy="610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16751" w:rsidRPr="00B07517" w:rsidRDefault="00B07517">
      <w:pPr>
        <w:spacing w:before="240"/>
        <w:ind w:left="720"/>
        <w:jc w:val="right"/>
        <w:rPr>
          <w:rFonts w:ascii="Trebuchet MS" w:eastAsia="Trebuchet MS" w:hAnsi="Trebuchet MS" w:cs="Trebuchet MS"/>
          <w:b/>
          <w:sz w:val="18"/>
          <w:szCs w:val="18"/>
        </w:rPr>
      </w:pPr>
      <w:r w:rsidRPr="00B07517">
        <w:rPr>
          <w:rFonts w:ascii="Trebuchet MS" w:eastAsia="Trebuchet MS" w:hAnsi="Trebuchet MS" w:cs="Trebuchet MS"/>
          <w:b/>
          <w:sz w:val="18"/>
          <w:szCs w:val="18"/>
        </w:rPr>
        <w:t>Nota de prensa</w:t>
      </w:r>
    </w:p>
    <w:p w:rsidR="00916751" w:rsidRPr="00B07517" w:rsidRDefault="00B07517">
      <w:pPr>
        <w:spacing w:before="240"/>
        <w:ind w:left="720"/>
        <w:jc w:val="center"/>
        <w:rPr>
          <w:rFonts w:ascii="Trebuchet MS" w:eastAsia="Trebuchet MS" w:hAnsi="Trebuchet MS" w:cs="Trebuchet MS"/>
          <w:b/>
          <w:sz w:val="36"/>
          <w:szCs w:val="36"/>
        </w:rPr>
      </w:pPr>
      <w:r w:rsidRPr="00B07517">
        <w:rPr>
          <w:rFonts w:ascii="Trebuchet MS" w:eastAsia="Trebuchet MS" w:hAnsi="Trebuchet MS" w:cs="Trebuchet MS"/>
          <w:b/>
          <w:sz w:val="36"/>
          <w:szCs w:val="36"/>
        </w:rPr>
        <w:t>La Federación Estatal LGTBI+ rechaza el recurso de odio de Vox contra los derechos LGTBI+</w:t>
      </w:r>
    </w:p>
    <w:p w:rsidR="00916751" w:rsidRDefault="00B07517">
      <w:pPr>
        <w:spacing w:before="240" w:after="240"/>
        <w:ind w:left="1080" w:hanging="360"/>
        <w:jc w:val="both"/>
        <w:rPr>
          <w:rFonts w:ascii="Trebuchet MS" w:eastAsia="Trebuchet MS" w:hAnsi="Trebuchet MS" w:cs="Trebuchet MS"/>
          <w:b/>
          <w:sz w:val="18"/>
          <w:szCs w:val="18"/>
        </w:rPr>
      </w:pPr>
      <w:r>
        <w:rPr>
          <w:rFonts w:ascii="Arial Unicode MS" w:eastAsia="Arial Unicode MS" w:hAnsi="Arial Unicode MS" w:cs="Arial Unicode MS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proofErr w:type="spellStart"/>
      <w:r>
        <w:rPr>
          <w:rFonts w:ascii="Trebuchet MS" w:eastAsia="Trebuchet MS" w:hAnsi="Trebuchet MS" w:cs="Trebuchet MS"/>
          <w:b/>
          <w:sz w:val="18"/>
          <w:szCs w:val="18"/>
        </w:rPr>
        <w:t>Uge</w:t>
      </w:r>
      <w:proofErr w:type="spellEnd"/>
      <w:r>
        <w:rPr>
          <w:rFonts w:ascii="Trebuchet MS" w:eastAsia="Trebuchet MS" w:hAnsi="Trebuchet MS" w:cs="Trebuchet MS"/>
          <w:b/>
          <w:sz w:val="18"/>
          <w:szCs w:val="18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18"/>
          <w:szCs w:val="18"/>
        </w:rPr>
        <w:t>Sangil</w:t>
      </w:r>
      <w:proofErr w:type="spellEnd"/>
      <w:r>
        <w:rPr>
          <w:rFonts w:ascii="Trebuchet MS" w:eastAsia="Trebuchet MS" w:hAnsi="Trebuchet MS" w:cs="Trebuchet MS"/>
          <w:b/>
          <w:sz w:val="18"/>
          <w:szCs w:val="18"/>
        </w:rPr>
        <w:t>: “Pedimos al Tribunal Constitucional celeridad en el fallo, ya que</w:t>
      </w:r>
      <w:r>
        <w:rPr>
          <w:rFonts w:ascii="Trebuchet MS" w:eastAsia="Trebuchet MS" w:hAnsi="Trebuchet MS" w:cs="Trebuchet MS"/>
          <w:b/>
          <w:sz w:val="18"/>
          <w:szCs w:val="18"/>
        </w:rPr>
        <w:t xml:space="preserve"> no hay ninguna duda de la constitucionalidad de la ley, como acreditó el propio informe del CGPJ y la sentencia del TC de 2019”</w:t>
      </w:r>
    </w:p>
    <w:p w:rsidR="00916751" w:rsidRDefault="00B07517">
      <w:pPr>
        <w:spacing w:before="240" w:after="240"/>
        <w:jc w:val="both"/>
        <w:rPr>
          <w:rFonts w:ascii="Trebuchet MS" w:eastAsia="Trebuchet MS" w:hAnsi="Trebuchet MS" w:cs="Trebuchet MS"/>
          <w:color w:val="444444"/>
        </w:rPr>
      </w:pPr>
      <w:r>
        <w:rPr>
          <w:rFonts w:ascii="Trebuchet MS" w:eastAsia="Trebuchet MS" w:hAnsi="Trebuchet MS" w:cs="Trebuchet MS"/>
        </w:rPr>
        <w:t>Madrid.</w:t>
      </w:r>
      <w:bookmarkStart w:id="0" w:name="_GoBack"/>
      <w:bookmarkEnd w:id="0"/>
      <w:r>
        <w:rPr>
          <w:rFonts w:ascii="Trebuchet MS" w:eastAsia="Trebuchet MS" w:hAnsi="Trebuchet MS" w:cs="Trebuchet MS"/>
        </w:rPr>
        <w:t xml:space="preserve">12/04/2023.- La </w:t>
      </w:r>
      <w:r>
        <w:rPr>
          <w:rFonts w:ascii="Trebuchet MS" w:eastAsia="Trebuchet MS" w:hAnsi="Trebuchet MS" w:cs="Trebuchet MS"/>
          <w:color w:val="444444"/>
        </w:rPr>
        <w:t xml:space="preserve">Federación Estatal de Lesbianas, Gais, </w:t>
      </w:r>
      <w:proofErr w:type="spellStart"/>
      <w:r>
        <w:rPr>
          <w:rFonts w:ascii="Trebuchet MS" w:eastAsia="Trebuchet MS" w:hAnsi="Trebuchet MS" w:cs="Trebuchet MS"/>
          <w:color w:val="444444"/>
        </w:rPr>
        <w:t>Trans</w:t>
      </w:r>
      <w:proofErr w:type="spellEnd"/>
      <w:r>
        <w:rPr>
          <w:rFonts w:ascii="Trebuchet MS" w:eastAsia="Trebuchet MS" w:hAnsi="Trebuchet MS" w:cs="Trebuchet MS"/>
          <w:color w:val="444444"/>
        </w:rPr>
        <w:t>, Bisexuales, Intersexuales y más (FELGTBI+) rechaza el rec</w:t>
      </w:r>
      <w:r>
        <w:rPr>
          <w:rFonts w:ascii="Trebuchet MS" w:eastAsia="Trebuchet MS" w:hAnsi="Trebuchet MS" w:cs="Trebuchet MS"/>
          <w:color w:val="444444"/>
        </w:rPr>
        <w:t xml:space="preserve">urso de odio contra los derechos LGTBI+ </w:t>
      </w:r>
      <w:proofErr w:type="gramStart"/>
      <w:r>
        <w:rPr>
          <w:rFonts w:ascii="Trebuchet MS" w:eastAsia="Trebuchet MS" w:hAnsi="Trebuchet MS" w:cs="Trebuchet MS"/>
          <w:color w:val="444444"/>
        </w:rPr>
        <w:t>presentado  por</w:t>
      </w:r>
      <w:proofErr w:type="gramEnd"/>
      <w:r>
        <w:rPr>
          <w:rFonts w:ascii="Trebuchet MS" w:eastAsia="Trebuchet MS" w:hAnsi="Trebuchet MS" w:cs="Trebuchet MS"/>
          <w:color w:val="444444"/>
        </w:rPr>
        <w:t xml:space="preserve"> Vox este miércoles ante el Tribunal Constitucional. La presidenta de la Federación, </w:t>
      </w:r>
      <w:proofErr w:type="spellStart"/>
      <w:r>
        <w:rPr>
          <w:rFonts w:ascii="Trebuchet MS" w:eastAsia="Trebuchet MS" w:hAnsi="Trebuchet MS" w:cs="Trebuchet MS"/>
          <w:color w:val="444444"/>
        </w:rPr>
        <w:t>Uge</w:t>
      </w:r>
      <w:proofErr w:type="spellEnd"/>
      <w:r>
        <w:rPr>
          <w:rFonts w:ascii="Trebuchet MS" w:eastAsia="Trebuchet MS" w:hAnsi="Trebuchet MS" w:cs="Trebuchet MS"/>
          <w:color w:val="444444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444444"/>
        </w:rPr>
        <w:t>Sangil</w:t>
      </w:r>
      <w:proofErr w:type="spellEnd"/>
      <w:r>
        <w:rPr>
          <w:rFonts w:ascii="Trebuchet MS" w:eastAsia="Trebuchet MS" w:hAnsi="Trebuchet MS" w:cs="Trebuchet MS"/>
          <w:color w:val="444444"/>
        </w:rPr>
        <w:t xml:space="preserve">, pide celeridad en el fallo, “ya que no existen dudas sobre la constitucionalidad de la Ley </w:t>
      </w:r>
      <w:proofErr w:type="spellStart"/>
      <w:r>
        <w:rPr>
          <w:rFonts w:ascii="Trebuchet MS" w:eastAsia="Trebuchet MS" w:hAnsi="Trebuchet MS" w:cs="Trebuchet MS"/>
          <w:color w:val="444444"/>
        </w:rPr>
        <w:t>Trans</w:t>
      </w:r>
      <w:proofErr w:type="spellEnd"/>
      <w:r>
        <w:rPr>
          <w:rFonts w:ascii="Trebuchet MS" w:eastAsia="Trebuchet MS" w:hAnsi="Trebuchet MS" w:cs="Trebuchet MS"/>
          <w:color w:val="444444"/>
        </w:rPr>
        <w:t xml:space="preserve"> y LGTBI</w:t>
      </w:r>
      <w:r>
        <w:rPr>
          <w:rFonts w:ascii="Trebuchet MS" w:eastAsia="Trebuchet MS" w:hAnsi="Trebuchet MS" w:cs="Trebuchet MS"/>
          <w:color w:val="444444"/>
        </w:rPr>
        <w:t>+, tal y como acreditaron tanto el informe del Consejo General del Poder Judicial (CGPJ), como la sentencia del propio Tribunal Constitucional en 2019”.</w:t>
      </w:r>
    </w:p>
    <w:p w:rsidR="00916751" w:rsidRDefault="00B07517">
      <w:pPr>
        <w:spacing w:before="240" w:after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Así, </w:t>
      </w:r>
      <w:proofErr w:type="spellStart"/>
      <w:r>
        <w:rPr>
          <w:rFonts w:ascii="Trebuchet MS" w:eastAsia="Trebuchet MS" w:hAnsi="Trebuchet MS" w:cs="Trebuchet MS"/>
        </w:rPr>
        <w:t>Sangil</w:t>
      </w:r>
      <w:proofErr w:type="spellEnd"/>
      <w:r>
        <w:rPr>
          <w:rFonts w:ascii="Trebuchet MS" w:eastAsia="Trebuchet MS" w:hAnsi="Trebuchet MS" w:cs="Trebuchet MS"/>
        </w:rPr>
        <w:t xml:space="preserve"> añade que “no sorprende que un partido de ultraderecha, que nos llamó degenerados desde la </w:t>
      </w:r>
      <w:r>
        <w:rPr>
          <w:rFonts w:ascii="Trebuchet MS" w:eastAsia="Trebuchet MS" w:hAnsi="Trebuchet MS" w:cs="Trebuchet MS"/>
        </w:rPr>
        <w:t>tribuna del Congreso, se oponga a los derechos de las personas LGTBI+”. “A través de sus discursos nos presentan constantemente como personas enfermas, y a los miembros más vulnerables del colectivo como una amenaza. Debemos recordar que, debido a este par</w:t>
      </w:r>
      <w:r>
        <w:rPr>
          <w:rFonts w:ascii="Trebuchet MS" w:eastAsia="Trebuchet MS" w:hAnsi="Trebuchet MS" w:cs="Trebuchet MS"/>
        </w:rPr>
        <w:t xml:space="preserve">tido, hemos tenido que escuchar en el Parlamento español que se está dando </w:t>
      </w:r>
      <w:r>
        <w:rPr>
          <w:rFonts w:ascii="Trebuchet MS" w:eastAsia="Trebuchet MS" w:hAnsi="Trebuchet MS" w:cs="Trebuchet MS"/>
          <w:i/>
        </w:rPr>
        <w:t>un alarmante aumento de casos de homosexualidad y transexualidad</w:t>
      </w:r>
      <w:r>
        <w:rPr>
          <w:rFonts w:ascii="Trebuchet MS" w:eastAsia="Trebuchet MS" w:hAnsi="Trebuchet MS" w:cs="Trebuchet MS"/>
        </w:rPr>
        <w:t>, como si fuéramos una pandemia”.</w:t>
      </w:r>
    </w:p>
    <w:p w:rsidR="00916751" w:rsidRDefault="00B07517">
      <w:pPr>
        <w:spacing w:before="240" w:after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También recuerda que “el ataque contra nuestros derechos y nuestras identidades por</w:t>
      </w:r>
      <w:r>
        <w:rPr>
          <w:rFonts w:ascii="Trebuchet MS" w:eastAsia="Trebuchet MS" w:hAnsi="Trebuchet MS" w:cs="Trebuchet MS"/>
        </w:rPr>
        <w:t xml:space="preserve"> parte de Vox es continuo y sus discursos solo generan odio contra los grupos en situación de vulnerabilidad. Por eso, más de una decena de entidades sociales y los principales sindicatos hemos firmado un Pacto Social, para exigir a los partidos que pongan</w:t>
      </w:r>
      <w:r>
        <w:rPr>
          <w:rFonts w:ascii="Trebuchet MS" w:eastAsia="Trebuchet MS" w:hAnsi="Trebuchet MS" w:cs="Trebuchet MS"/>
        </w:rPr>
        <w:t xml:space="preserve"> freno a los discursos de odio, que son el origen de la violencia en las calles, y lo traduzcan en un Pacto de Estado”.</w:t>
      </w:r>
    </w:p>
    <w:p w:rsidR="00916751" w:rsidRDefault="00B07517">
      <w:pPr>
        <w:spacing w:before="240" w:after="240"/>
        <w:jc w:val="both"/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  <w:b/>
          <w:u w:val="single"/>
        </w:rPr>
        <w:t>Denuncian los intentos mediáticos boicotear la ley</w:t>
      </w:r>
    </w:p>
    <w:p w:rsidR="00916751" w:rsidRDefault="00B07517">
      <w:pPr>
        <w:spacing w:before="240" w:after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La presidenta de la FELGTBI+, </w:t>
      </w:r>
      <w:proofErr w:type="spellStart"/>
      <w:r>
        <w:rPr>
          <w:rFonts w:ascii="Trebuchet MS" w:eastAsia="Trebuchet MS" w:hAnsi="Trebuchet MS" w:cs="Trebuchet MS"/>
        </w:rPr>
        <w:t>Uge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Sangil</w:t>
      </w:r>
      <w:proofErr w:type="spellEnd"/>
      <w:r>
        <w:rPr>
          <w:rFonts w:ascii="Trebuchet MS" w:eastAsia="Trebuchet MS" w:hAnsi="Trebuchet MS" w:cs="Trebuchet MS"/>
        </w:rPr>
        <w:t>, ha señalado que "existe una campaña evident</w:t>
      </w:r>
      <w:r>
        <w:rPr>
          <w:rFonts w:ascii="Trebuchet MS" w:eastAsia="Trebuchet MS" w:hAnsi="Trebuchet MS" w:cs="Trebuchet MS"/>
        </w:rPr>
        <w:t xml:space="preserve">e para cuestionar la nueva ley. Se presentan mediáticamente </w:t>
      </w:r>
      <w:proofErr w:type="spellStart"/>
      <w:r>
        <w:rPr>
          <w:rFonts w:ascii="Trebuchet MS" w:eastAsia="Trebuchet MS" w:hAnsi="Trebuchet MS" w:cs="Trebuchet MS"/>
        </w:rPr>
        <w:t>pseudo</w:t>
      </w:r>
      <w:proofErr w:type="spellEnd"/>
      <w:r>
        <w:rPr>
          <w:rFonts w:ascii="Trebuchet MS" w:eastAsia="Trebuchet MS" w:hAnsi="Trebuchet MS" w:cs="Trebuchet MS"/>
        </w:rPr>
        <w:t xml:space="preserve"> fraudes de ley, como ejemplos para justificar que hay que eliminarla, cuando, por plazos, ni siquiera es posible que haya llegado a aplicarse.”</w:t>
      </w:r>
    </w:p>
    <w:p w:rsidR="00916751" w:rsidRDefault="00B07517">
      <w:pPr>
        <w:spacing w:before="240" w:after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“Casos como el de </w:t>
      </w:r>
      <w:proofErr w:type="spellStart"/>
      <w:r>
        <w:rPr>
          <w:rFonts w:ascii="Trebuchet MS" w:eastAsia="Trebuchet MS" w:hAnsi="Trebuchet MS" w:cs="Trebuchet MS"/>
        </w:rPr>
        <w:t>Torrelodones</w:t>
      </w:r>
      <w:proofErr w:type="spellEnd"/>
      <w:r>
        <w:rPr>
          <w:rFonts w:ascii="Trebuchet MS" w:eastAsia="Trebuchet MS" w:hAnsi="Trebuchet MS" w:cs="Trebuchet MS"/>
        </w:rPr>
        <w:t>, o los de dete</w:t>
      </w:r>
      <w:r>
        <w:rPr>
          <w:rFonts w:ascii="Trebuchet MS" w:eastAsia="Trebuchet MS" w:hAnsi="Trebuchet MS" w:cs="Trebuchet MS"/>
        </w:rPr>
        <w:t xml:space="preserve">rminados </w:t>
      </w:r>
      <w:proofErr w:type="spellStart"/>
      <w:r>
        <w:rPr>
          <w:rFonts w:ascii="Trebuchet MS" w:eastAsia="Trebuchet MS" w:hAnsi="Trebuchet MS" w:cs="Trebuchet MS"/>
        </w:rPr>
        <w:t>youtubers</w:t>
      </w:r>
      <w:proofErr w:type="spellEnd"/>
      <w:r>
        <w:rPr>
          <w:rFonts w:ascii="Trebuchet MS" w:eastAsia="Trebuchet MS" w:hAnsi="Trebuchet MS" w:cs="Trebuchet MS"/>
        </w:rPr>
        <w:t xml:space="preserve"> que dicen haberse cambiado de sexo, solo persiguen provocar y burlarse de la nueva legislación”. “Es evidente que personas que dicen haber cambiado de sexo, cuando aún no es administrativamente posible hacer el cambio registral, no tiene</w:t>
      </w:r>
      <w:r>
        <w:rPr>
          <w:rFonts w:ascii="Trebuchet MS" w:eastAsia="Trebuchet MS" w:hAnsi="Trebuchet MS" w:cs="Trebuchet MS"/>
        </w:rPr>
        <w:t xml:space="preserve">n ningún interés real siquiera en hacer fraude. Solo quieren hacer ruido mediático y poner la ley en tela de juicio por motivos ideológicos. </w:t>
      </w:r>
      <w:r>
        <w:rPr>
          <w:rFonts w:ascii="Trebuchet MS" w:eastAsia="Trebuchet MS" w:hAnsi="Trebuchet MS" w:cs="Trebuchet MS"/>
        </w:rPr>
        <w:lastRenderedPageBreak/>
        <w:t>Estamos viendo intentos de boicotear una legislación que da derechos a un colectivo vulnerable, no fraudes de ley”,</w:t>
      </w:r>
      <w:r>
        <w:rPr>
          <w:rFonts w:ascii="Trebuchet MS" w:eastAsia="Trebuchet MS" w:hAnsi="Trebuchet MS" w:cs="Trebuchet MS"/>
        </w:rPr>
        <w:t xml:space="preserve"> añade.</w:t>
      </w:r>
    </w:p>
    <w:p w:rsidR="00916751" w:rsidRDefault="00B07517">
      <w:pPr>
        <w:spacing w:before="240" w:after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No obstante, la presidenta de la Federación Estatal LGTBI+ ha dejado claro que su organización está a favor de perseguir con rotundidad a quienes traten de realizar realmente un fraude de ley e invita a la Fiscalía a investigar cualquier indicio de falseda</w:t>
      </w:r>
      <w:r>
        <w:rPr>
          <w:rFonts w:ascii="Trebuchet MS" w:eastAsia="Trebuchet MS" w:hAnsi="Trebuchet MS" w:cs="Trebuchet MS"/>
        </w:rPr>
        <w:t xml:space="preserve">d en este sentido. “El espíritu de la norma es el de articular procedimientos rápidos y ágiles que no pongan trabas y dificultades para el cambio registral de personas muy vulnerables como las personas </w:t>
      </w:r>
      <w:proofErr w:type="spellStart"/>
      <w:r>
        <w:rPr>
          <w:rFonts w:ascii="Trebuchet MS" w:eastAsia="Trebuchet MS" w:hAnsi="Trebuchet MS" w:cs="Trebuchet MS"/>
        </w:rPr>
        <w:t>trans</w:t>
      </w:r>
      <w:proofErr w:type="spellEnd"/>
      <w:r>
        <w:rPr>
          <w:rFonts w:ascii="Trebuchet MS" w:eastAsia="Trebuchet MS" w:hAnsi="Trebuchet MS" w:cs="Trebuchet MS"/>
        </w:rPr>
        <w:t>. Pero, por supuesto, los posibles fraudes de ley</w:t>
      </w:r>
      <w:r>
        <w:rPr>
          <w:rFonts w:ascii="Trebuchet MS" w:eastAsia="Trebuchet MS" w:hAnsi="Trebuchet MS" w:cs="Trebuchet MS"/>
        </w:rPr>
        <w:t xml:space="preserve"> deben controlarse a posteriori, como se hace con cualquier otra norma. Los jueces siempre tienen mecanismos para detectar estos fraudes”, apunta </w:t>
      </w:r>
      <w:proofErr w:type="spellStart"/>
      <w:r>
        <w:rPr>
          <w:rFonts w:ascii="Trebuchet MS" w:eastAsia="Trebuchet MS" w:hAnsi="Trebuchet MS" w:cs="Trebuchet MS"/>
        </w:rPr>
        <w:t>Sangil</w:t>
      </w:r>
      <w:proofErr w:type="spellEnd"/>
      <w:r>
        <w:rPr>
          <w:rFonts w:ascii="Trebuchet MS" w:eastAsia="Trebuchet MS" w:hAnsi="Trebuchet MS" w:cs="Trebuchet MS"/>
        </w:rPr>
        <w:t>.</w:t>
      </w:r>
    </w:p>
    <w:p w:rsidR="00916751" w:rsidRDefault="00B07517">
      <w:pPr>
        <w:spacing w:before="240" w:after="240"/>
        <w:jc w:val="both"/>
        <w:rPr>
          <w:color w:val="222222"/>
          <w:highlight w:val="white"/>
        </w:rPr>
      </w:pPr>
      <w:r>
        <w:rPr>
          <w:rFonts w:ascii="Trebuchet MS" w:eastAsia="Trebuchet MS" w:hAnsi="Trebuchet MS" w:cs="Trebuchet MS"/>
        </w:rPr>
        <w:t xml:space="preserve"> Contacto prensa: Sara </w:t>
      </w:r>
      <w:proofErr w:type="spellStart"/>
      <w:r>
        <w:rPr>
          <w:rFonts w:ascii="Trebuchet MS" w:eastAsia="Trebuchet MS" w:hAnsi="Trebuchet MS" w:cs="Trebuchet MS"/>
        </w:rPr>
        <w:t>Recuenco</w:t>
      </w:r>
      <w:proofErr w:type="spellEnd"/>
      <w:r>
        <w:rPr>
          <w:rFonts w:ascii="Trebuchet MS" w:eastAsia="Trebuchet MS" w:hAnsi="Trebuchet MS" w:cs="Trebuchet MS"/>
        </w:rPr>
        <w:t xml:space="preserve"> </w:t>
      </w:r>
      <w:r>
        <w:rPr>
          <w:color w:val="D71F85"/>
          <w:highlight w:val="white"/>
        </w:rPr>
        <w:t xml:space="preserve">prensa@felgtb.org </w:t>
      </w:r>
      <w:r>
        <w:rPr>
          <w:color w:val="222222"/>
          <w:highlight w:val="white"/>
        </w:rPr>
        <w:t>635.43.73.21</w:t>
      </w:r>
    </w:p>
    <w:p w:rsidR="00916751" w:rsidRDefault="00916751">
      <w:pPr>
        <w:spacing w:before="240" w:after="240"/>
        <w:jc w:val="both"/>
        <w:rPr>
          <w:rFonts w:ascii="Trebuchet MS" w:eastAsia="Trebuchet MS" w:hAnsi="Trebuchet MS" w:cs="Trebuchet MS"/>
        </w:rPr>
      </w:pPr>
    </w:p>
    <w:p w:rsidR="00916751" w:rsidRDefault="00916751">
      <w:pPr>
        <w:rPr>
          <w:rFonts w:ascii="Trebuchet MS" w:eastAsia="Trebuchet MS" w:hAnsi="Trebuchet MS" w:cs="Trebuchet MS"/>
        </w:rPr>
      </w:pPr>
    </w:p>
    <w:sectPr w:rsidR="0091675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51"/>
    <w:rsid w:val="00916751"/>
    <w:rsid w:val="00B0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AE54"/>
  <w15:docId w15:val="{4B9C4F7D-5D0F-4DCA-AA14-FF790B18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Felgtb1905</dc:creator>
  <cp:lastModifiedBy>Felgtb1905</cp:lastModifiedBy>
  <cp:revision>2</cp:revision>
  <dcterms:created xsi:type="dcterms:W3CDTF">2023-04-12T08:54:00Z</dcterms:created>
  <dcterms:modified xsi:type="dcterms:W3CDTF">2023-04-12T08:54:00Z</dcterms:modified>
</cp:coreProperties>
</file>