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73" w:rsidRPr="00F31B73" w:rsidRDefault="00F31B73" w:rsidP="00F31B73">
      <w:pPr>
        <w:spacing w:before="240" w:after="240"/>
        <w:jc w:val="right"/>
        <w:rPr>
          <w:rFonts w:ascii="Trebuchet MS" w:hAnsi="Trebuchet MS"/>
        </w:rPr>
      </w:pPr>
      <w:r w:rsidRPr="00F31B73">
        <w:rPr>
          <w:rFonts w:ascii="Trebuchet MS" w:hAnsi="Trebuchet MS"/>
        </w:rPr>
        <w:t>Nota de prensa</w:t>
      </w:r>
    </w:p>
    <w:p w:rsidR="00282772" w:rsidRDefault="00282772" w:rsidP="00282772">
      <w:pPr>
        <w:spacing w:before="240" w:after="240"/>
        <w:rPr>
          <w:b/>
        </w:rPr>
      </w:pPr>
    </w:p>
    <w:p w:rsidR="00C076C6" w:rsidRPr="00C076C6" w:rsidRDefault="00C076C6" w:rsidP="00C076C6">
      <w:pPr>
        <w:spacing w:before="240" w:after="240"/>
        <w:jc w:val="center"/>
        <w:rPr>
          <w:rFonts w:ascii="Trebuchet MS" w:eastAsia="Trebuchet MS" w:hAnsi="Trebuchet MS" w:cs="Trebuchet MS"/>
          <w:b/>
          <w:sz w:val="32"/>
        </w:rPr>
      </w:pPr>
      <w:r w:rsidRPr="00C076C6">
        <w:rPr>
          <w:rFonts w:ascii="Trebuchet MS" w:eastAsia="Trebuchet MS" w:hAnsi="Trebuchet MS" w:cs="Trebuchet MS"/>
          <w:b/>
          <w:sz w:val="32"/>
        </w:rPr>
        <w:t>FELGTBI+ pide a la OMS que evite señalamientos y se centre en trazar un plan de salud pública con los países afectados</w:t>
      </w:r>
    </w:p>
    <w:p w:rsidR="00C076C6" w:rsidRPr="00C076C6" w:rsidRDefault="00C076C6" w:rsidP="00C076C6">
      <w:pPr>
        <w:pStyle w:val="Prrafodelista"/>
        <w:numPr>
          <w:ilvl w:val="0"/>
          <w:numId w:val="34"/>
        </w:numPr>
        <w:spacing w:before="240" w:after="240"/>
        <w:jc w:val="both"/>
        <w:rPr>
          <w:rFonts w:ascii="Trebuchet MS" w:eastAsia="Trebuchet MS" w:hAnsi="Trebuchet MS" w:cs="Trebuchet MS"/>
          <w:b/>
          <w:sz w:val="18"/>
          <w:szCs w:val="18"/>
        </w:rPr>
      </w:pPr>
      <w:r w:rsidRPr="00C076C6">
        <w:rPr>
          <w:rFonts w:ascii="Trebuchet MS" w:eastAsia="Trebuchet MS" w:hAnsi="Trebuchet MS" w:cs="Trebuchet MS"/>
          <w:b/>
          <w:sz w:val="18"/>
          <w:szCs w:val="18"/>
        </w:rPr>
        <w:t xml:space="preserve">Es necesario que la OMS marque un plan de salud pública para los Estados Miembros, no que lance mensajes paternalistas y </w:t>
      </w:r>
      <w:proofErr w:type="spellStart"/>
      <w:r w:rsidRPr="00C076C6">
        <w:rPr>
          <w:rFonts w:ascii="Trebuchet MS" w:eastAsia="Trebuchet MS" w:hAnsi="Trebuchet MS" w:cs="Trebuchet MS"/>
          <w:b/>
          <w:sz w:val="18"/>
          <w:szCs w:val="18"/>
        </w:rPr>
        <w:t>estigmatizantes</w:t>
      </w:r>
      <w:proofErr w:type="spellEnd"/>
      <w:r w:rsidRPr="00C076C6">
        <w:rPr>
          <w:rFonts w:ascii="Trebuchet MS" w:eastAsia="Trebuchet MS" w:hAnsi="Trebuchet MS" w:cs="Trebuchet MS"/>
          <w:b/>
          <w:sz w:val="18"/>
          <w:szCs w:val="18"/>
        </w:rPr>
        <w:t xml:space="preserve"> dirigidos al colectivo LGTBI+</w:t>
      </w:r>
    </w:p>
    <w:p w:rsidR="00C076C6" w:rsidRPr="00C076C6" w:rsidRDefault="00C076C6" w:rsidP="00C076C6">
      <w:pPr>
        <w:pStyle w:val="Prrafodelista"/>
        <w:numPr>
          <w:ilvl w:val="0"/>
          <w:numId w:val="34"/>
        </w:numPr>
        <w:spacing w:before="240" w:after="240"/>
        <w:jc w:val="both"/>
        <w:rPr>
          <w:rFonts w:ascii="Trebuchet MS" w:eastAsia="Trebuchet MS" w:hAnsi="Trebuchet MS" w:cs="Trebuchet MS"/>
          <w:b/>
          <w:sz w:val="18"/>
          <w:szCs w:val="18"/>
        </w:rPr>
      </w:pPr>
      <w:r w:rsidRPr="00C076C6">
        <w:rPr>
          <w:rFonts w:ascii="Trebuchet MS" w:eastAsia="Trebuchet MS" w:hAnsi="Trebuchet MS" w:cs="Trebuchet MS"/>
          <w:b/>
          <w:sz w:val="18"/>
          <w:szCs w:val="18"/>
        </w:rPr>
        <w:t>La vacuna de la viruela es la principal vía para contener la enfermedad, pero por ahora, España sólo dispone de 5300 dosis.</w:t>
      </w:r>
    </w:p>
    <w:p w:rsidR="00C076C6" w:rsidRPr="00C076C6" w:rsidRDefault="00C076C6" w:rsidP="00C076C6">
      <w:pPr>
        <w:spacing w:before="240" w:after="240"/>
        <w:jc w:val="both"/>
        <w:rPr>
          <w:rFonts w:ascii="Trebuchet MS" w:eastAsia="Trebuchet MS" w:hAnsi="Trebuchet MS" w:cs="Trebuchet MS"/>
          <w:b/>
          <w:sz w:val="36"/>
        </w:rPr>
      </w:pPr>
      <w:r w:rsidRPr="00C076C6">
        <w:rPr>
          <w:rFonts w:ascii="Trebuchet MS" w:eastAsia="Trebuchet MS" w:hAnsi="Trebuchet MS" w:cs="Trebuchet MS"/>
        </w:rPr>
        <w:t>(28/07/2022</w:t>
      </w:r>
      <w:proofErr w:type="gramStart"/>
      <w:r w:rsidRPr="00C076C6">
        <w:rPr>
          <w:rFonts w:ascii="Trebuchet MS" w:eastAsia="Trebuchet MS" w:hAnsi="Trebuchet MS" w:cs="Trebuchet MS"/>
        </w:rPr>
        <w:t>).-</w:t>
      </w:r>
      <w:proofErr w:type="gramEnd"/>
      <w:r>
        <w:rPr>
          <w:rFonts w:ascii="Trebuchet MS" w:eastAsia="Trebuchet MS" w:hAnsi="Trebuchet MS" w:cs="Trebuchet MS"/>
        </w:rPr>
        <w:t xml:space="preserve"> </w:t>
      </w:r>
      <w:r w:rsidRPr="00C076C6">
        <w:rPr>
          <w:rFonts w:ascii="Trebuchet MS" w:eastAsia="Trebuchet MS" w:hAnsi="Trebuchet MS" w:cs="Trebuchet MS"/>
        </w:rPr>
        <w:t xml:space="preserve">La Federación Estatal de Lesbianas, Gais, </w:t>
      </w:r>
      <w:proofErr w:type="spellStart"/>
      <w:r w:rsidRPr="00C076C6">
        <w:rPr>
          <w:rFonts w:ascii="Trebuchet MS" w:eastAsia="Trebuchet MS" w:hAnsi="Trebuchet MS" w:cs="Trebuchet MS"/>
        </w:rPr>
        <w:t>Trans</w:t>
      </w:r>
      <w:proofErr w:type="spellEnd"/>
      <w:r w:rsidRPr="00C076C6">
        <w:rPr>
          <w:rFonts w:ascii="Trebuchet MS" w:eastAsia="Trebuchet MS" w:hAnsi="Trebuchet MS" w:cs="Trebuchet MS"/>
        </w:rPr>
        <w:t>, Bisexuales, Intersexuales y más (FELGTBI+)</w:t>
      </w:r>
      <w:r w:rsidR="005331FB">
        <w:rPr>
          <w:rFonts w:ascii="Trebuchet MS" w:eastAsia="Trebuchet MS" w:hAnsi="Trebuchet MS" w:cs="Trebuchet MS"/>
        </w:rPr>
        <w:t>,</w:t>
      </w:r>
      <w:r w:rsidRPr="00C076C6">
        <w:rPr>
          <w:rFonts w:ascii="Trebuchet MS" w:eastAsia="Trebuchet MS" w:hAnsi="Trebuchet MS" w:cs="Trebuchet MS"/>
        </w:rPr>
        <w:t xml:space="preserve"> reclama a la Organización Mundial de la Salud (OMS), tras las recientes declaraciones de su Director General, </w:t>
      </w:r>
      <w:proofErr w:type="spellStart"/>
      <w:r w:rsidRPr="00C076C6">
        <w:rPr>
          <w:rFonts w:ascii="Trebuchet MS" w:eastAsia="Trebuchet MS" w:hAnsi="Trebuchet MS" w:cs="Trebuchet MS"/>
        </w:rPr>
        <w:t>Tedros</w:t>
      </w:r>
      <w:proofErr w:type="spellEnd"/>
      <w:r w:rsidRPr="00C076C6">
        <w:rPr>
          <w:rFonts w:ascii="Trebuchet MS" w:eastAsia="Trebuchet MS" w:hAnsi="Trebuchet MS" w:cs="Trebuchet MS"/>
        </w:rPr>
        <w:t xml:space="preserve"> </w:t>
      </w:r>
      <w:proofErr w:type="spellStart"/>
      <w:r w:rsidRPr="00C076C6">
        <w:rPr>
          <w:rFonts w:ascii="Trebuchet MS" w:eastAsia="Trebuchet MS" w:hAnsi="Trebuchet MS" w:cs="Trebuchet MS"/>
        </w:rPr>
        <w:t>Adhanom</w:t>
      </w:r>
      <w:proofErr w:type="spellEnd"/>
      <w:r w:rsidRPr="00C076C6">
        <w:rPr>
          <w:rFonts w:ascii="Trebuchet MS" w:eastAsia="Trebuchet MS" w:hAnsi="Trebuchet MS" w:cs="Trebuchet MS"/>
        </w:rPr>
        <w:t xml:space="preserve"> </w:t>
      </w:r>
      <w:proofErr w:type="spellStart"/>
      <w:r w:rsidRPr="00C076C6">
        <w:rPr>
          <w:rFonts w:ascii="Trebuchet MS" w:eastAsia="Trebuchet MS" w:hAnsi="Trebuchet MS" w:cs="Trebuchet MS"/>
        </w:rPr>
        <w:t>Ghebreyesus</w:t>
      </w:r>
      <w:proofErr w:type="spellEnd"/>
      <w:r w:rsidRPr="00C076C6">
        <w:rPr>
          <w:rFonts w:ascii="Trebuchet MS" w:eastAsia="Trebuchet MS" w:hAnsi="Trebuchet MS" w:cs="Trebuchet MS"/>
        </w:rPr>
        <w:t>, que evite afirmaciones que puedan ser utilizadas para estigmatizar al colectivo LGTBI+. Ayer, la OMS solicitó al colectivo de hombres que practican sexo con hombres (HSH) que reduzcan la cantidad de parejas sexuales y que reconsideren tener nuevos contactos sexuales, a pesar de que la viruela del mono no es una Infección de Transmisión Sexual (ITS). Este hecho, señala y estigmatiza al colectivo, culpándole de la difusión de la enfermedad por ejercer su libertad sexual, sin proponer medidas efectivas para prevenir su difusión.</w:t>
      </w:r>
    </w:p>
    <w:p w:rsidR="00C076C6" w:rsidRPr="00C076C6" w:rsidRDefault="00C076C6" w:rsidP="00C076C6">
      <w:pPr>
        <w:spacing w:before="240" w:after="240"/>
        <w:jc w:val="both"/>
        <w:rPr>
          <w:rFonts w:ascii="Trebuchet MS" w:eastAsia="Trebuchet MS" w:hAnsi="Trebuchet MS" w:cs="Trebuchet MS"/>
        </w:rPr>
      </w:pPr>
      <w:r w:rsidRPr="00C076C6">
        <w:rPr>
          <w:rFonts w:ascii="Trebuchet MS" w:eastAsia="Trebuchet MS" w:hAnsi="Trebuchet MS" w:cs="Trebuchet MS"/>
        </w:rPr>
        <w:t xml:space="preserve">El 23 de julio, la OMS declaró la viruela del mono como emergencia sanitaria mundial tras el nuevo repunte de casos confirmados y la transmisión por más de 75 países. </w:t>
      </w:r>
      <w:proofErr w:type="spellStart"/>
      <w:r w:rsidRPr="00C076C6">
        <w:rPr>
          <w:rFonts w:ascii="Trebuchet MS" w:eastAsia="Trebuchet MS" w:hAnsi="Trebuchet MS" w:cs="Trebuchet MS"/>
        </w:rPr>
        <w:t>Tedros</w:t>
      </w:r>
      <w:proofErr w:type="spellEnd"/>
      <w:r w:rsidRPr="00C076C6">
        <w:rPr>
          <w:rFonts w:ascii="Trebuchet MS" w:eastAsia="Trebuchet MS" w:hAnsi="Trebuchet MS" w:cs="Trebuchet MS"/>
        </w:rPr>
        <w:t xml:space="preserve"> </w:t>
      </w:r>
      <w:proofErr w:type="spellStart"/>
      <w:r w:rsidRPr="00C076C6">
        <w:rPr>
          <w:rFonts w:ascii="Trebuchet MS" w:eastAsia="Trebuchet MS" w:hAnsi="Trebuchet MS" w:cs="Trebuchet MS"/>
        </w:rPr>
        <w:t>Adhanom</w:t>
      </w:r>
      <w:proofErr w:type="spellEnd"/>
      <w:r w:rsidRPr="00C076C6">
        <w:rPr>
          <w:rFonts w:ascii="Trebuchet MS" w:eastAsia="Trebuchet MS" w:hAnsi="Trebuchet MS" w:cs="Trebuchet MS"/>
        </w:rPr>
        <w:t xml:space="preserve"> comunicó en rueda de prensa que la viruela del mono es una amenaza para la salud pública de interés internacional, a pesar de que el grupo de expertos de la ONU, encargado de evaluar la crisis, aún no había llegado a un consenso al respecto.</w:t>
      </w:r>
    </w:p>
    <w:p w:rsidR="00C076C6" w:rsidRPr="00C076C6" w:rsidRDefault="00C076C6" w:rsidP="00C076C6">
      <w:pPr>
        <w:spacing w:before="240" w:after="240"/>
        <w:jc w:val="both"/>
        <w:rPr>
          <w:rFonts w:ascii="Trebuchet MS" w:eastAsia="Trebuchet MS" w:hAnsi="Trebuchet MS" w:cs="Trebuchet MS"/>
        </w:rPr>
      </w:pPr>
      <w:r w:rsidRPr="00C076C6">
        <w:rPr>
          <w:rFonts w:ascii="Trebuchet MS" w:eastAsia="Trebuchet MS" w:hAnsi="Trebuchet MS" w:cs="Trebuchet MS"/>
        </w:rPr>
        <w:t xml:space="preserve">La viruela del mono registra ya más de 18.000 casos en todo el mundo, el 70% en Europa, sin embargo, la OMS aún no ha expuesto un plan de salud pública que marque las directrices y los objetivos de los diferentes Estados Miembros, ni ha trazado un plan de vacunación y contención de la enfermedad que no sean los consejos paternalistas y </w:t>
      </w:r>
      <w:proofErr w:type="spellStart"/>
      <w:r w:rsidRPr="00C076C6">
        <w:rPr>
          <w:rFonts w:ascii="Trebuchet MS" w:eastAsia="Trebuchet MS" w:hAnsi="Trebuchet MS" w:cs="Trebuchet MS"/>
        </w:rPr>
        <w:t>estigmatizantes</w:t>
      </w:r>
      <w:proofErr w:type="spellEnd"/>
      <w:r w:rsidRPr="00C076C6">
        <w:rPr>
          <w:rFonts w:ascii="Trebuchet MS" w:eastAsia="Trebuchet MS" w:hAnsi="Trebuchet MS" w:cs="Trebuchet MS"/>
        </w:rPr>
        <w:t xml:space="preserve"> dirigidos al colectivo. </w:t>
      </w:r>
      <w:proofErr w:type="spellStart"/>
      <w:r w:rsidRPr="00C076C6">
        <w:rPr>
          <w:rFonts w:ascii="Trebuchet MS" w:eastAsia="Trebuchet MS" w:hAnsi="Trebuchet MS" w:cs="Trebuchet MS"/>
        </w:rPr>
        <w:t>Nahum</w:t>
      </w:r>
      <w:proofErr w:type="spellEnd"/>
      <w:r w:rsidRPr="00C076C6">
        <w:rPr>
          <w:rFonts w:ascii="Trebuchet MS" w:eastAsia="Trebuchet MS" w:hAnsi="Trebuchet MS" w:cs="Trebuchet MS"/>
        </w:rPr>
        <w:t xml:space="preserve"> Cabrera, coordinador de VIH de FELGTBI+ apunta que “se está repitiendo el fantasma del estigma del VIH</w:t>
      </w:r>
      <w:r w:rsidR="00EC0616">
        <w:rPr>
          <w:rFonts w:ascii="Trebuchet MS" w:eastAsia="Trebuchet MS" w:hAnsi="Trebuchet MS" w:cs="Trebuchet MS"/>
        </w:rPr>
        <w:t>,</w:t>
      </w:r>
      <w:r w:rsidRPr="00C076C6">
        <w:rPr>
          <w:rFonts w:ascii="Trebuchet MS" w:eastAsia="Trebuchet MS" w:hAnsi="Trebuchet MS" w:cs="Trebuchet MS"/>
        </w:rPr>
        <w:t xml:space="preserve"> poniendo el foco sobre la población LGTBI+ nuevamente</w:t>
      </w:r>
      <w:r w:rsidR="00EC0616">
        <w:rPr>
          <w:rFonts w:ascii="Trebuchet MS" w:eastAsia="Trebuchet MS" w:hAnsi="Trebuchet MS" w:cs="Trebuchet MS"/>
        </w:rPr>
        <w:t>,</w:t>
      </w:r>
      <w:bookmarkStart w:id="0" w:name="_GoBack"/>
      <w:bookmarkEnd w:id="0"/>
      <w:r w:rsidRPr="00C076C6">
        <w:rPr>
          <w:rFonts w:ascii="Trebuchet MS" w:eastAsia="Trebuchet MS" w:hAnsi="Trebuchet MS" w:cs="Trebuchet MS"/>
        </w:rPr>
        <w:t xml:space="preserve"> como si fuéramos los precursores de la expansión de una enfermedad de contacto”.</w:t>
      </w:r>
    </w:p>
    <w:p w:rsidR="00C076C6" w:rsidRPr="00C076C6" w:rsidRDefault="00C076C6" w:rsidP="00C076C6">
      <w:pPr>
        <w:spacing w:before="240" w:after="240"/>
        <w:jc w:val="both"/>
        <w:rPr>
          <w:rFonts w:ascii="Trebuchet MS" w:eastAsia="Trebuchet MS" w:hAnsi="Trebuchet MS" w:cs="Trebuchet MS"/>
        </w:rPr>
      </w:pPr>
      <w:r w:rsidRPr="00C076C6">
        <w:rPr>
          <w:rFonts w:ascii="Trebuchet MS" w:eastAsia="Trebuchet MS" w:hAnsi="Trebuchet MS" w:cs="Trebuchet MS"/>
        </w:rPr>
        <w:t xml:space="preserve"> </w:t>
      </w:r>
    </w:p>
    <w:p w:rsidR="00C076C6" w:rsidRPr="00C076C6" w:rsidRDefault="00C076C6" w:rsidP="00C076C6">
      <w:pPr>
        <w:spacing w:before="240" w:after="240"/>
        <w:jc w:val="both"/>
        <w:rPr>
          <w:rFonts w:ascii="Trebuchet MS" w:eastAsia="Trebuchet MS" w:hAnsi="Trebuchet MS" w:cs="Trebuchet MS"/>
          <w:b/>
        </w:rPr>
      </w:pPr>
      <w:r w:rsidRPr="00C076C6">
        <w:rPr>
          <w:rFonts w:ascii="Trebuchet MS" w:eastAsia="Trebuchet MS" w:hAnsi="Trebuchet MS" w:cs="Trebuchet MS"/>
          <w:b/>
        </w:rPr>
        <w:t>Vacunación como prevención</w:t>
      </w:r>
    </w:p>
    <w:p w:rsidR="00C076C6" w:rsidRPr="00C076C6" w:rsidRDefault="00C076C6" w:rsidP="00C076C6">
      <w:pPr>
        <w:spacing w:before="240" w:after="240"/>
        <w:jc w:val="both"/>
        <w:rPr>
          <w:rFonts w:ascii="Trebuchet MS" w:eastAsia="Trebuchet MS" w:hAnsi="Trebuchet MS" w:cs="Trebuchet MS"/>
        </w:rPr>
      </w:pPr>
      <w:r w:rsidRPr="00C076C6">
        <w:rPr>
          <w:rFonts w:ascii="Trebuchet MS" w:eastAsia="Trebuchet MS" w:hAnsi="Trebuchet MS" w:cs="Trebuchet MS"/>
        </w:rPr>
        <w:t xml:space="preserve">Entre las recomendaciones realizadas a los países afectados se incluyen “cuidar y proteger a las comunidades afectadas; intensificar las medidas de salud y vigilancia; y controlar clínicas y hospitales", a lo que se ha añadido "acelerar el uso de vacunas”. Se estima que la vacuna de la viruela produce inmunidad en el 80% de las personas </w:t>
      </w:r>
      <w:r w:rsidRPr="00C076C6">
        <w:rPr>
          <w:rFonts w:ascii="Trebuchet MS" w:eastAsia="Trebuchet MS" w:hAnsi="Trebuchet MS" w:cs="Trebuchet MS"/>
        </w:rPr>
        <w:lastRenderedPageBreak/>
        <w:t xml:space="preserve">vacunadas, mientras que el 20% restante solo manifiestan síntomas leves. La vacuna funciona como medida </w:t>
      </w:r>
      <w:proofErr w:type="spellStart"/>
      <w:r w:rsidRPr="00C076C6">
        <w:rPr>
          <w:rFonts w:ascii="Trebuchet MS" w:eastAsia="Trebuchet MS" w:hAnsi="Trebuchet MS" w:cs="Trebuchet MS"/>
        </w:rPr>
        <w:t>preexposición</w:t>
      </w:r>
      <w:proofErr w:type="spellEnd"/>
      <w:r w:rsidRPr="00C076C6">
        <w:rPr>
          <w:rFonts w:ascii="Trebuchet MS" w:eastAsia="Trebuchet MS" w:hAnsi="Trebuchet MS" w:cs="Trebuchet MS"/>
        </w:rPr>
        <w:t>, es decir, previa al contacto directo con la persona infectada. En este punto, es importante señalar que el contagio se produce por contacto directo y cercano con una persona que tiene síntomas, en concreto, a través de las erupciones, fluidos corporales (fluidos, pus o sangre de lesiones en la piel) y las costras, que son especialmente infecciosas.</w:t>
      </w:r>
    </w:p>
    <w:p w:rsidR="00C076C6" w:rsidRPr="00C076C6" w:rsidRDefault="00C076C6" w:rsidP="00C076C6">
      <w:pPr>
        <w:spacing w:before="240" w:after="240"/>
        <w:jc w:val="both"/>
        <w:rPr>
          <w:rFonts w:ascii="Trebuchet MS" w:eastAsia="Trebuchet MS" w:hAnsi="Trebuchet MS" w:cs="Trebuchet MS"/>
        </w:rPr>
      </w:pPr>
      <w:r w:rsidRPr="00C076C6">
        <w:rPr>
          <w:rFonts w:ascii="Trebuchet MS" w:eastAsia="Trebuchet MS" w:hAnsi="Trebuchet MS" w:cs="Trebuchet MS"/>
        </w:rPr>
        <w:t>España, con más de 3.100 casos confirmados, es el país del mundo con más casos de viruela del mono, según las estadísticas que ha comenzado a actualizar diariamente la Organización Mundial de la Salud (OMS). A pesar de este dato, solo se dispone de 5300 vacunas para repartir entre todas las Comunidades Autónomas, lo que se considera claramente insuficiente para realizar una acción preventiva eficaz. Toni Alba, coordinador de Salud Integral de FELGTBI+, señala que “necesitamos que las autoridades sanitarias cumplan sus funciones y compren las vacunas lo antes posible, puesto que estas se están fabricando en función de la demanda y debemos adelantarnos sino queremos empeorar la situación. Está demostrado que la vacunación es la mejor opción y necesitamos estas dosis para realizar una campaña de prevención efectiva”.</w:t>
      </w:r>
    </w:p>
    <w:p w:rsidR="00C076C6" w:rsidRPr="00C076C6" w:rsidRDefault="00C076C6" w:rsidP="00C076C6">
      <w:pPr>
        <w:spacing w:before="240" w:after="240"/>
        <w:jc w:val="both"/>
        <w:rPr>
          <w:rFonts w:ascii="Trebuchet MS" w:eastAsia="Trebuchet MS" w:hAnsi="Trebuchet MS" w:cs="Trebuchet MS"/>
        </w:rPr>
      </w:pPr>
      <w:r w:rsidRPr="00C076C6">
        <w:rPr>
          <w:rFonts w:ascii="Trebuchet MS" w:eastAsia="Trebuchet MS" w:hAnsi="Trebuchet MS" w:cs="Trebuchet MS"/>
        </w:rPr>
        <w:t xml:space="preserve">Es necesario que el gobierno compre un mayor número de dosis </w:t>
      </w:r>
      <w:proofErr w:type="spellStart"/>
      <w:r w:rsidRPr="00C076C6">
        <w:rPr>
          <w:rFonts w:ascii="Trebuchet MS" w:eastAsia="Trebuchet MS" w:hAnsi="Trebuchet MS" w:cs="Trebuchet MS"/>
        </w:rPr>
        <w:t>preexposición</w:t>
      </w:r>
      <w:proofErr w:type="spellEnd"/>
      <w:r w:rsidRPr="00C076C6">
        <w:rPr>
          <w:rFonts w:ascii="Trebuchet MS" w:eastAsia="Trebuchet MS" w:hAnsi="Trebuchet MS" w:cs="Trebuchet MS"/>
        </w:rPr>
        <w:t xml:space="preserve"> para empezar a vacunar a la población de alto riesgo de exposición al virus, que según la Comisión de Salud Pública incluye a personas que practican sexo con desconocidos y que han tenido múltiples parejas en el último año (independientemente del género y orientación sexual), pero también a los profesionales sanitarios o personas vulnerables, como personas inmunodeprimidas, embarazadas, etc.</w:t>
      </w:r>
    </w:p>
    <w:p w:rsidR="00C076C6" w:rsidRDefault="00C076C6" w:rsidP="00C076C6">
      <w:pPr>
        <w:spacing w:before="240" w:after="240"/>
        <w:jc w:val="both"/>
        <w:rPr>
          <w:rFonts w:ascii="Trebuchet MS" w:eastAsia="Trebuchet MS" w:hAnsi="Trebuchet MS" w:cs="Trebuchet MS"/>
        </w:rPr>
      </w:pPr>
    </w:p>
    <w:p w:rsidR="0033547E" w:rsidRPr="00F31B73" w:rsidRDefault="0033547E" w:rsidP="00C076C6">
      <w:pPr>
        <w:spacing w:before="240" w:after="240"/>
        <w:jc w:val="both"/>
        <w:rPr>
          <w:rFonts w:ascii="Trebuchet MS" w:hAnsi="Trebuchet MS"/>
        </w:rPr>
      </w:pPr>
      <w:r w:rsidRPr="00F31B73">
        <w:rPr>
          <w:rFonts w:ascii="Trebuchet MS" w:eastAsia="Trebuchet MS" w:hAnsi="Trebuchet MS" w:cs="Trebuchet MS"/>
        </w:rPr>
        <w:t xml:space="preserve">Contacto para prensa: Alberto Martínez: </w:t>
      </w:r>
      <w:hyperlink r:id="rId7" w:history="1">
        <w:r w:rsidRPr="00F31B73">
          <w:rPr>
            <w:rStyle w:val="Hipervnculo"/>
            <w:rFonts w:ascii="Trebuchet MS" w:eastAsia="Trebuchet MS" w:hAnsi="Trebuchet MS" w:cs="Trebuchet MS"/>
          </w:rPr>
          <w:t>prensa@felgtb.org</w:t>
        </w:r>
      </w:hyperlink>
      <w:r w:rsidRPr="00F31B73">
        <w:rPr>
          <w:rFonts w:ascii="Trebuchet MS" w:eastAsia="Trebuchet MS" w:hAnsi="Trebuchet MS" w:cs="Trebuchet MS"/>
        </w:rPr>
        <w:t xml:space="preserve"> / 635 43 73 21</w:t>
      </w:r>
    </w:p>
    <w:p w:rsidR="0033547E" w:rsidRPr="00F31B73" w:rsidRDefault="0033547E" w:rsidP="0033547E">
      <w:pPr>
        <w:spacing w:before="240" w:after="240"/>
        <w:jc w:val="both"/>
        <w:rPr>
          <w:rFonts w:ascii="Trebuchet MS" w:hAnsi="Trebuchet MS"/>
        </w:rPr>
      </w:pPr>
    </w:p>
    <w:p w:rsidR="00561AC8" w:rsidRDefault="00561AC8" w:rsidP="00561AC8">
      <w:pPr>
        <w:spacing w:before="100" w:after="240"/>
        <w:ind w:left="-280" w:right="-440"/>
        <w:jc w:val="both"/>
        <w:rPr>
          <w:rFonts w:ascii="Trebuchet MS" w:eastAsia="Trebuchet MS" w:hAnsi="Trebuchet MS" w:cs="Trebuchet MS"/>
        </w:rPr>
      </w:pPr>
      <w:r>
        <w:rPr>
          <w:rFonts w:ascii="Trebuchet MS" w:eastAsia="Trebuchet MS" w:hAnsi="Trebuchet MS" w:cs="Trebuchet MS"/>
        </w:rPr>
        <w:t xml:space="preserve"> </w:t>
      </w:r>
    </w:p>
    <w:p w:rsidR="00561AC8" w:rsidRDefault="00561AC8" w:rsidP="00561AC8"/>
    <w:p w:rsidR="006E7F13" w:rsidRPr="002E36FA" w:rsidRDefault="006E7F13" w:rsidP="002E36FA">
      <w:pPr>
        <w:spacing w:before="240" w:after="240"/>
        <w:jc w:val="center"/>
        <w:rPr>
          <w:rFonts w:ascii="Trebuchet MS" w:eastAsia="Times New Roman" w:hAnsi="Trebuchet MS" w:cs="Times New Roman"/>
          <w:color w:val="000000"/>
          <w:lang w:eastAsia="es-ES"/>
        </w:rPr>
      </w:pPr>
    </w:p>
    <w:sectPr w:rsidR="006E7F13" w:rsidRPr="002E36FA" w:rsidSect="006D55F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851" w:rsidRDefault="005B6851" w:rsidP="00D25C5B">
      <w:pPr>
        <w:spacing w:after="0" w:line="240" w:lineRule="auto"/>
      </w:pPr>
      <w:r>
        <w:separator/>
      </w:r>
    </w:p>
  </w:endnote>
  <w:endnote w:type="continuationSeparator" w:id="0">
    <w:p w:rsidR="005B6851" w:rsidRDefault="005B6851"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BF" w:rsidRDefault="00F31B73" w:rsidP="00A311BF">
    <w:pPr>
      <w:pStyle w:val="Piedepgina"/>
      <w:jc w:val="center"/>
    </w:pPr>
    <w:r>
      <w:rPr>
        <w:noProof/>
        <w:lang w:eastAsia="es-ES"/>
      </w:rPr>
      <w:drawing>
        <wp:anchor distT="0" distB="0" distL="114300" distR="114300" simplePos="0" relativeHeight="251658240" behindDoc="1" locked="0" layoutInCell="1" allowOverlap="1">
          <wp:simplePos x="0" y="0"/>
          <wp:positionH relativeFrom="column">
            <wp:posOffset>1682115</wp:posOffset>
          </wp:positionH>
          <wp:positionV relativeFrom="paragraph">
            <wp:posOffset>26670</wp:posOffset>
          </wp:positionV>
          <wp:extent cx="2038350" cy="732155"/>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2038350" cy="732155"/>
                  </a:xfrm>
                  <a:prstGeom prst="rect">
                    <a:avLst/>
                  </a:prstGeom>
                  <a:noFill/>
                </pic:spPr>
              </pic:pic>
            </a:graphicData>
          </a:graphic>
          <wp14:sizeRelH relativeFrom="page">
            <wp14:pctWidth>0</wp14:pctWidth>
          </wp14:sizeRelH>
          <wp14:sizeRelV relativeFrom="page">
            <wp14:pctHeight>0</wp14:pctHeight>
          </wp14:sizeRelV>
        </wp:anchor>
      </w:drawing>
    </w:r>
  </w:p>
  <w:p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rsidR="00A311BF" w:rsidRDefault="00A311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851" w:rsidRDefault="005B6851" w:rsidP="00D25C5B">
      <w:pPr>
        <w:spacing w:after="0" w:line="240" w:lineRule="auto"/>
      </w:pPr>
      <w:r>
        <w:separator/>
      </w:r>
    </w:p>
  </w:footnote>
  <w:footnote w:type="continuationSeparator" w:id="0">
    <w:p w:rsidR="005B6851" w:rsidRDefault="005B6851"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00371B3B" wp14:editId="5D1C66F2">
          <wp:simplePos x="0" y="0"/>
          <wp:positionH relativeFrom="margin">
            <wp:posOffset>4017303</wp:posOffset>
          </wp:positionH>
          <wp:positionV relativeFrom="paragraph">
            <wp:posOffset>-319925</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D0" w:rsidRDefault="00F510D0">
    <w:pPr>
      <w:pStyle w:val="Encabezado"/>
      <w:rPr>
        <w:noProof/>
        <w:lang w:eastAsia="es-ES"/>
      </w:rPr>
    </w:pPr>
  </w:p>
  <w:p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0"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2"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5"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8"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FC40FF"/>
    <w:multiLevelType w:val="hybridMultilevel"/>
    <w:tmpl w:val="877E77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4"/>
  </w:num>
  <w:num w:numId="5">
    <w:abstractNumId w:val="16"/>
  </w:num>
  <w:num w:numId="6">
    <w:abstractNumId w:val="17"/>
  </w:num>
  <w:num w:numId="7">
    <w:abstractNumId w:val="10"/>
  </w:num>
  <w:num w:numId="8">
    <w:abstractNumId w:val="7"/>
  </w:num>
  <w:num w:numId="9">
    <w:abstractNumId w:val="8"/>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22"/>
  </w:num>
  <w:num w:numId="15">
    <w:abstractNumId w:val="21"/>
    <w:lvlOverride w:ilvl="0">
      <w:lvl w:ilvl="0">
        <w:numFmt w:val="decimal"/>
        <w:lvlText w:val="%1."/>
        <w:lvlJc w:val="left"/>
      </w:lvl>
    </w:lvlOverride>
  </w:num>
  <w:num w:numId="16">
    <w:abstractNumId w:val="21"/>
    <w:lvlOverride w:ilvl="0">
      <w:lvl w:ilvl="0">
        <w:numFmt w:val="decimal"/>
        <w:lvlText w:val="%1."/>
        <w:lvlJc w:val="left"/>
      </w:lvl>
    </w:lvlOverride>
  </w:num>
  <w:num w:numId="17">
    <w:abstractNumId w:val="21"/>
    <w:lvlOverride w:ilvl="0">
      <w:lvl w:ilvl="0">
        <w:numFmt w:val="decimal"/>
        <w:lvlText w:val="%1."/>
        <w:lvlJc w:val="left"/>
      </w:lvl>
    </w:lvlOverride>
  </w:num>
  <w:num w:numId="18">
    <w:abstractNumId w:val="21"/>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21"/>
    <w:lvlOverride w:ilvl="0">
      <w:lvl w:ilvl="0">
        <w:numFmt w:val="decimal"/>
        <w:lvlText w:val="%1."/>
        <w:lvlJc w:val="left"/>
      </w:lvl>
    </w:lvlOverride>
  </w:num>
  <w:num w:numId="21">
    <w:abstractNumId w:val="6"/>
  </w:num>
  <w:num w:numId="22">
    <w:abstractNumId w:val="11"/>
  </w:num>
  <w:num w:numId="23">
    <w:abstractNumId w:val="18"/>
  </w:num>
  <w:num w:numId="24">
    <w:abstractNumId w:val="15"/>
  </w:num>
  <w:num w:numId="25">
    <w:abstractNumId w:val="24"/>
  </w:num>
  <w:num w:numId="26">
    <w:abstractNumId w:val="12"/>
  </w:num>
  <w:num w:numId="27">
    <w:abstractNumId w:val="19"/>
  </w:num>
  <w:num w:numId="28">
    <w:abstractNumId w:val="2"/>
  </w:num>
  <w:num w:numId="29">
    <w:abstractNumId w:val="0"/>
  </w:num>
  <w:num w:numId="30">
    <w:abstractNumId w:val="13"/>
  </w:num>
  <w:num w:numId="31">
    <w:abstractNumId w:val="20"/>
  </w:num>
  <w:num w:numId="32">
    <w:abstractNumId w:val="25"/>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51034"/>
    <w:rsid w:val="000554A2"/>
    <w:rsid w:val="000A6F9D"/>
    <w:rsid w:val="000C3C5E"/>
    <w:rsid w:val="000C7B25"/>
    <w:rsid w:val="000D4488"/>
    <w:rsid w:val="000F127F"/>
    <w:rsid w:val="00115206"/>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1597B"/>
    <w:rsid w:val="002278D3"/>
    <w:rsid w:val="00230DD4"/>
    <w:rsid w:val="00240272"/>
    <w:rsid w:val="00244128"/>
    <w:rsid w:val="00245041"/>
    <w:rsid w:val="00245935"/>
    <w:rsid w:val="0025144F"/>
    <w:rsid w:val="00282772"/>
    <w:rsid w:val="002911D7"/>
    <w:rsid w:val="00295A92"/>
    <w:rsid w:val="002A150A"/>
    <w:rsid w:val="002B6443"/>
    <w:rsid w:val="002C594B"/>
    <w:rsid w:val="002D1543"/>
    <w:rsid w:val="002E36FA"/>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B5724"/>
    <w:rsid w:val="003C1492"/>
    <w:rsid w:val="003C5E8E"/>
    <w:rsid w:val="003D2F73"/>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31FB"/>
    <w:rsid w:val="00536812"/>
    <w:rsid w:val="00544376"/>
    <w:rsid w:val="00547EE0"/>
    <w:rsid w:val="00551E7F"/>
    <w:rsid w:val="00561AC8"/>
    <w:rsid w:val="00570A0E"/>
    <w:rsid w:val="00571F2D"/>
    <w:rsid w:val="005B6851"/>
    <w:rsid w:val="005B6C80"/>
    <w:rsid w:val="005F012D"/>
    <w:rsid w:val="005F2CFD"/>
    <w:rsid w:val="005F393C"/>
    <w:rsid w:val="006126C9"/>
    <w:rsid w:val="00614A23"/>
    <w:rsid w:val="00646AB7"/>
    <w:rsid w:val="00671538"/>
    <w:rsid w:val="00682DAD"/>
    <w:rsid w:val="0068410F"/>
    <w:rsid w:val="006A752E"/>
    <w:rsid w:val="006B3296"/>
    <w:rsid w:val="006D55F1"/>
    <w:rsid w:val="006E0F71"/>
    <w:rsid w:val="006E7F13"/>
    <w:rsid w:val="006F06F1"/>
    <w:rsid w:val="006F45AD"/>
    <w:rsid w:val="00704EEC"/>
    <w:rsid w:val="00705321"/>
    <w:rsid w:val="00712C30"/>
    <w:rsid w:val="00726318"/>
    <w:rsid w:val="007264CC"/>
    <w:rsid w:val="0072709C"/>
    <w:rsid w:val="0073565E"/>
    <w:rsid w:val="007470FA"/>
    <w:rsid w:val="00747F49"/>
    <w:rsid w:val="0077524D"/>
    <w:rsid w:val="00776860"/>
    <w:rsid w:val="007A7347"/>
    <w:rsid w:val="007C1B14"/>
    <w:rsid w:val="007C6094"/>
    <w:rsid w:val="007E3A08"/>
    <w:rsid w:val="007E4F2E"/>
    <w:rsid w:val="007F43DC"/>
    <w:rsid w:val="00811D01"/>
    <w:rsid w:val="00855C59"/>
    <w:rsid w:val="00870870"/>
    <w:rsid w:val="0088215D"/>
    <w:rsid w:val="008857DE"/>
    <w:rsid w:val="00895DB6"/>
    <w:rsid w:val="008A37E4"/>
    <w:rsid w:val="008A5E6A"/>
    <w:rsid w:val="008A70A4"/>
    <w:rsid w:val="008B222C"/>
    <w:rsid w:val="008B7078"/>
    <w:rsid w:val="008E2634"/>
    <w:rsid w:val="008E6F3D"/>
    <w:rsid w:val="008F3BE4"/>
    <w:rsid w:val="0090087F"/>
    <w:rsid w:val="0090462A"/>
    <w:rsid w:val="00927D60"/>
    <w:rsid w:val="00944169"/>
    <w:rsid w:val="00951D6D"/>
    <w:rsid w:val="00957BEF"/>
    <w:rsid w:val="00960B8C"/>
    <w:rsid w:val="0096322D"/>
    <w:rsid w:val="00965F92"/>
    <w:rsid w:val="009669A0"/>
    <w:rsid w:val="00971A6D"/>
    <w:rsid w:val="009778C9"/>
    <w:rsid w:val="009833E5"/>
    <w:rsid w:val="00983F3C"/>
    <w:rsid w:val="0099632C"/>
    <w:rsid w:val="0099656F"/>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076C6"/>
    <w:rsid w:val="00C11B49"/>
    <w:rsid w:val="00C1697D"/>
    <w:rsid w:val="00C2409F"/>
    <w:rsid w:val="00C47EAD"/>
    <w:rsid w:val="00C60515"/>
    <w:rsid w:val="00C64A87"/>
    <w:rsid w:val="00CA3BB7"/>
    <w:rsid w:val="00CA7B93"/>
    <w:rsid w:val="00CB51F6"/>
    <w:rsid w:val="00CC16B0"/>
    <w:rsid w:val="00CC388B"/>
    <w:rsid w:val="00CD75EB"/>
    <w:rsid w:val="00CD7999"/>
    <w:rsid w:val="00CD7B56"/>
    <w:rsid w:val="00D130B5"/>
    <w:rsid w:val="00D17B7A"/>
    <w:rsid w:val="00D17F66"/>
    <w:rsid w:val="00D25C5B"/>
    <w:rsid w:val="00D26A59"/>
    <w:rsid w:val="00D271C4"/>
    <w:rsid w:val="00D31A4B"/>
    <w:rsid w:val="00D43E66"/>
    <w:rsid w:val="00D43F8E"/>
    <w:rsid w:val="00D51952"/>
    <w:rsid w:val="00D57ACC"/>
    <w:rsid w:val="00D6180E"/>
    <w:rsid w:val="00D63EF4"/>
    <w:rsid w:val="00D94020"/>
    <w:rsid w:val="00DA59DB"/>
    <w:rsid w:val="00DC223F"/>
    <w:rsid w:val="00DC2BBB"/>
    <w:rsid w:val="00DC5CD8"/>
    <w:rsid w:val="00DC69FE"/>
    <w:rsid w:val="00DD2B0A"/>
    <w:rsid w:val="00DE0907"/>
    <w:rsid w:val="00DF62DF"/>
    <w:rsid w:val="00E01E5A"/>
    <w:rsid w:val="00E32AAE"/>
    <w:rsid w:val="00E5171D"/>
    <w:rsid w:val="00E640B2"/>
    <w:rsid w:val="00E75205"/>
    <w:rsid w:val="00E77653"/>
    <w:rsid w:val="00E8237C"/>
    <w:rsid w:val="00E8474E"/>
    <w:rsid w:val="00E869CC"/>
    <w:rsid w:val="00EC0616"/>
    <w:rsid w:val="00ED5E1B"/>
    <w:rsid w:val="00EE1A5B"/>
    <w:rsid w:val="00EE5A25"/>
    <w:rsid w:val="00EF2C37"/>
    <w:rsid w:val="00EF3697"/>
    <w:rsid w:val="00EF6A7F"/>
    <w:rsid w:val="00EF7496"/>
    <w:rsid w:val="00F00D6C"/>
    <w:rsid w:val="00F147FD"/>
    <w:rsid w:val="00F26F0D"/>
    <w:rsid w:val="00F31B73"/>
    <w:rsid w:val="00F363B5"/>
    <w:rsid w:val="00F510D0"/>
    <w:rsid w:val="00F63C72"/>
    <w:rsid w:val="00F707F6"/>
    <w:rsid w:val="00F9367A"/>
    <w:rsid w:val="00FA1404"/>
    <w:rsid w:val="00FA571A"/>
    <w:rsid w:val="00FA6CFC"/>
    <w:rsid w:val="00FB76E0"/>
    <w:rsid w:val="00FD3F8A"/>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B3847"/>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felgt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3813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Felgtb1905</cp:lastModifiedBy>
  <cp:revision>5</cp:revision>
  <dcterms:created xsi:type="dcterms:W3CDTF">2022-07-28T12:43:00Z</dcterms:created>
  <dcterms:modified xsi:type="dcterms:W3CDTF">2022-07-28T12:46:00Z</dcterms:modified>
</cp:coreProperties>
</file>